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3" w:rsidRDefault="003644B5">
      <w:r>
        <w:t>The following supplementary material is available for this article online.</w:t>
      </w:r>
    </w:p>
    <w:p w:rsidR="003644B5" w:rsidRDefault="003644B5" w:rsidP="003644B5">
      <w:pPr>
        <w:spacing w:line="480" w:lineRule="auto"/>
        <w:jc w:val="both"/>
      </w:pPr>
    </w:p>
    <w:p w:rsidR="003644B5" w:rsidRDefault="003644B5" w:rsidP="003644B5">
      <w:pPr>
        <w:spacing w:line="480" w:lineRule="auto"/>
        <w:jc w:val="both"/>
      </w:pPr>
      <w:r>
        <w:t>Supplementary text</w:t>
      </w:r>
    </w:p>
    <w:p w:rsidR="003644B5" w:rsidRPr="001177A2" w:rsidRDefault="003644B5" w:rsidP="003644B5">
      <w:pPr>
        <w:spacing w:line="480" w:lineRule="auto"/>
        <w:jc w:val="both"/>
        <w:rPr>
          <w:i/>
        </w:rPr>
      </w:pPr>
      <w:r w:rsidRPr="001177A2">
        <w:rPr>
          <w:i/>
        </w:rPr>
        <w:t>Methodology for obtaining sequences of cytochrome oxidase subunit I (COI)</w:t>
      </w:r>
    </w:p>
    <w:p w:rsidR="003644B5" w:rsidRPr="0059584B" w:rsidRDefault="003644B5" w:rsidP="003644B5">
      <w:pPr>
        <w:spacing w:line="480" w:lineRule="auto"/>
        <w:jc w:val="both"/>
      </w:pPr>
      <w:r>
        <w:t xml:space="preserve">A 655 </w:t>
      </w:r>
      <w:proofErr w:type="spellStart"/>
      <w:r>
        <w:t>bp</w:t>
      </w:r>
      <w:proofErr w:type="spellEnd"/>
      <w:r>
        <w:t xml:space="preserve"> fragment of the COI gene was amplified in nine tawny pipits (four from north</w:t>
      </w:r>
      <w:r w:rsidR="00727ADE">
        <w:t>ern A</w:t>
      </w:r>
      <w:r>
        <w:t xml:space="preserve">frica, including two confirmed resident birds from Morocco, and five from the Iberian Peninsula) and sixteen Berthelot’s pipits (ten from the Canary Islands, three from </w:t>
      </w:r>
      <w:proofErr w:type="spellStart"/>
      <w:r>
        <w:t>Selvagens</w:t>
      </w:r>
      <w:proofErr w:type="spellEnd"/>
      <w:r>
        <w:t xml:space="preserve"> and three from Madeira) using primers PasserF1 and PasserR1 </w:t>
      </w:r>
      <w:r w:rsidR="00E102F2">
        <w:fldChar w:fldCharType="begin"/>
      </w:r>
      <w:r>
        <w:instrText xml:space="preserve"> ADDIN EN.CITE &lt;EndNote&gt;&lt;Cite&gt;&lt;Author&gt;Lohman&lt;/Author&gt;&lt;Year&gt;2009&lt;/Year&gt;&lt;RecNum&gt;436&lt;/RecNum&gt;&lt;DisplayText&gt;(Lohman&lt;style face="italic"&gt; et al.&lt;/style&gt; 2009)&lt;/DisplayText&gt;&lt;record&gt;&lt;rec-number&gt;436&lt;/rec-number&gt;&lt;foreign-keys&gt;&lt;key app="EN" db-id="fvzztfrpnx2x55e5sxcxttrw0wrpeztdva9e"&gt;436&lt;/key&gt;&lt;/foreign-keys&gt;&lt;ref-type name="Journal Article"&gt;17&lt;/ref-type&gt;&lt;contributors&gt;&lt;authors&gt;&lt;author&gt;Lohman, David J.&lt;/author&gt;&lt;author&gt;Prawiradilaga, Dewi M.&lt;/author&gt;&lt;author&gt;Meier, Rudolf&lt;/author&gt;&lt;/authors&gt;&lt;/contributors&gt;&lt;titles&gt;&lt;title&gt;Improved COI barcoding primers for Southeast Asian perching birds (Aves: Passeriformes)&lt;/title&gt;&lt;secondary-title&gt;Molecular Ecology Resources&lt;/secondary-title&gt;&lt;/titles&gt;&lt;periodical&gt;&lt;full-title&gt;Molecular Ecology Resources&lt;/full-title&gt;&lt;abbr-1&gt;Mol. Ecol. Resour.&lt;/abbr-1&gt;&lt;/periodical&gt;&lt;pages&gt;37-40&lt;/pages&gt;&lt;volume&gt;9&lt;/volume&gt;&lt;number&gt;1&lt;/number&gt;&lt;dates&gt;&lt;year&gt;2009&lt;/year&gt;&lt;pub-dates&gt;&lt;date&gt;Jan&lt;/date&gt;&lt;/pub-dates&gt;&lt;/dates&gt;&lt;isbn&gt;1755-098X&lt;/isbn&gt;&lt;accession-num&gt;WOS:000262678900004&lt;/accession-num&gt;&lt;urls&gt;&lt;related-urls&gt;&lt;url&gt;&amp;lt;Go to ISI&amp;gt;://WOS:000262678900004&lt;/url&gt;&lt;/related-urls&gt;&lt;/urls&gt;&lt;electronic-resource-num&gt;10.1111/j.1755-0998.2008.02221.x&lt;/electronic-resource-num&gt;&lt;/record&gt;&lt;/Cite&gt;&lt;/EndNote&gt;</w:instrText>
      </w:r>
      <w:r w:rsidR="00E102F2">
        <w:fldChar w:fldCharType="separate"/>
      </w:r>
      <w:r>
        <w:rPr>
          <w:noProof/>
        </w:rPr>
        <w:t>(</w:t>
      </w:r>
      <w:hyperlink w:anchor="_ENREF_46" w:tooltip="Lohman, 2009 #436" w:history="1">
        <w:r>
          <w:rPr>
            <w:noProof/>
          </w:rPr>
          <w:t>Lohman</w:t>
        </w:r>
        <w:r w:rsidRPr="0059584B">
          <w:rPr>
            <w:i/>
            <w:noProof/>
          </w:rPr>
          <w:t xml:space="preserve"> et al.</w:t>
        </w:r>
        <w:r>
          <w:rPr>
            <w:noProof/>
          </w:rPr>
          <w:t xml:space="preserve"> 2009</w:t>
        </w:r>
      </w:hyperlink>
      <w:r>
        <w:rPr>
          <w:noProof/>
        </w:rPr>
        <w:t>)</w:t>
      </w:r>
      <w:r w:rsidR="00E102F2">
        <w:fldChar w:fldCharType="end"/>
      </w:r>
      <w:r>
        <w:t xml:space="preserve"> following thermal conditions described in </w:t>
      </w:r>
      <w:proofErr w:type="spellStart"/>
      <w:r>
        <w:t>Lohman</w:t>
      </w:r>
      <w:proofErr w:type="spellEnd"/>
      <w:r>
        <w:t xml:space="preserve"> </w:t>
      </w:r>
      <w:r>
        <w:rPr>
          <w:i/>
        </w:rPr>
        <w:t xml:space="preserve">et al. </w:t>
      </w:r>
      <w:r>
        <w:t xml:space="preserve">(2009). Amplification was carried out in 10 µl reactions using a Tetrad </w:t>
      </w:r>
      <w:proofErr w:type="spellStart"/>
      <w:r>
        <w:t>thermocycler</w:t>
      </w:r>
      <w:proofErr w:type="spellEnd"/>
      <w:r>
        <w:t xml:space="preserve"> (MJ Research</w:t>
      </w:r>
      <w:r w:rsidRPr="00751230">
        <w:t>)</w:t>
      </w:r>
      <w:r>
        <w:t xml:space="preserve">, including </w:t>
      </w:r>
      <w:proofErr w:type="spellStart"/>
      <w:r>
        <w:t>TopTaq</w:t>
      </w:r>
      <w:proofErr w:type="spellEnd"/>
      <w:r>
        <w:t xml:space="preserve"> polymerase master mix</w:t>
      </w:r>
      <w:r w:rsidRPr="00751230">
        <w:t xml:space="preserve"> (</w:t>
      </w:r>
      <w:proofErr w:type="spellStart"/>
      <w:r w:rsidRPr="00751230">
        <w:t>Qiagen</w:t>
      </w:r>
      <w:proofErr w:type="spellEnd"/>
      <w:r w:rsidRPr="00751230">
        <w:t>),</w:t>
      </w:r>
      <w:r>
        <w:t xml:space="preserve"> 0.5 µM of each primer and ca. 30 ng of DNA. Amplified fragments were visualized in 2% agarose gels stained with ethidium bromide and purified using a mixture of recombinant alkaline phosphatase and exonuclease I, incubating at 37°C for 30 </w:t>
      </w:r>
      <w:proofErr w:type="spellStart"/>
      <w:r>
        <w:t>mins</w:t>
      </w:r>
      <w:proofErr w:type="spellEnd"/>
      <w:r>
        <w:t xml:space="preserve">, followed by enzyme inactivation at 95°C for 5 </w:t>
      </w:r>
      <w:proofErr w:type="spellStart"/>
      <w:r>
        <w:t>mins</w:t>
      </w:r>
      <w:proofErr w:type="spellEnd"/>
      <w:r>
        <w:t xml:space="preserve">. Amplified fragments were sequenced using the </w:t>
      </w:r>
      <w:proofErr w:type="spellStart"/>
      <w:r>
        <w:t>BigDye</w:t>
      </w:r>
      <w:proofErr w:type="spellEnd"/>
      <w:r>
        <w:t xml:space="preserve"> terminator kit (Applied </w:t>
      </w:r>
      <w:proofErr w:type="spellStart"/>
      <w:r>
        <w:t>Biosystems</w:t>
      </w:r>
      <w:proofErr w:type="spellEnd"/>
      <w:r>
        <w:t xml:space="preserve">) using the following thermal profile: 96°C for 2 </w:t>
      </w:r>
      <w:proofErr w:type="spellStart"/>
      <w:r>
        <w:t>mins</w:t>
      </w:r>
      <w:proofErr w:type="spellEnd"/>
      <w:r>
        <w:t xml:space="preserve">, followed by 25 cycles of 96°C for 10 s, 50°C for 5 s and 60°C for 4 </w:t>
      </w:r>
      <w:proofErr w:type="spellStart"/>
      <w:r>
        <w:t>mins</w:t>
      </w:r>
      <w:proofErr w:type="spellEnd"/>
      <w:r>
        <w:t xml:space="preserve">. Products were visualized in an ABI genetic </w:t>
      </w:r>
      <w:proofErr w:type="spellStart"/>
      <w:r>
        <w:t>analyzer</w:t>
      </w:r>
      <w:proofErr w:type="spellEnd"/>
      <w:r>
        <w:t xml:space="preserve"> (Applied </w:t>
      </w:r>
      <w:proofErr w:type="spellStart"/>
      <w:r>
        <w:t>Biosystems</w:t>
      </w:r>
      <w:proofErr w:type="spellEnd"/>
      <w:r>
        <w:t>).</w:t>
      </w:r>
      <w:r w:rsidDel="006C4AE2">
        <w:t xml:space="preserve"> </w:t>
      </w:r>
      <w:r>
        <w:t xml:space="preserve">Sequences were aligned and edited in </w:t>
      </w:r>
      <w:proofErr w:type="spellStart"/>
      <w:r>
        <w:t>BioEdit</w:t>
      </w:r>
      <w:proofErr w:type="spellEnd"/>
      <w:r>
        <w:t xml:space="preserve"> 7.0.9.0 </w:t>
      </w:r>
      <w:r w:rsidR="00E102F2">
        <w:fldChar w:fldCharType="begin"/>
      </w:r>
      <w:r>
        <w:instrText xml:space="preserve"> ADDIN EN.CITE &lt;EndNote&gt;&lt;Cite&gt;&lt;Author&gt;Hall&lt;/Author&gt;&lt;Year&gt;1999&lt;/Year&gt;&lt;RecNum&gt;92&lt;/RecNum&gt;&lt;DisplayText&gt;(Hall 1999)&lt;/DisplayText&gt;&lt;record&gt;&lt;rec-number&gt;92&lt;/rec-number&gt;&lt;foreign-keys&gt;&lt;key app="EN" db-id="fvzztfrpnx2x55e5sxcxttrw0wrpeztdva9e"&gt;92&lt;/key&gt;&lt;/foreign-keys&gt;&lt;ref-type name="Journal Article"&gt;17&lt;/ref-type&gt;&lt;contributors&gt;&lt;authors&gt;&lt;author&gt;Hall, T. A.&lt;/author&gt;&lt;/authors&gt;&lt;/contributors&gt;&lt;titles&gt;&lt;title&gt;BioEdit: a user friendly biological sequence alignment editor and analysis program for Windows 95/98/NT.&lt;/title&gt;&lt;secondary-title&gt;Nucleic Acid Symposium Series&lt;/secondary-title&gt;&lt;/titles&gt;&lt;periodical&gt;&lt;full-title&gt;Nucleic Acid Symposium Series&lt;/full-title&gt;&lt;/periodical&gt;&lt;pages&gt;95-98&lt;/pages&gt;&lt;volume&gt;41&lt;/volume&gt;&lt;dates&gt;&lt;year&gt;1999&lt;/year&gt;&lt;/dates&gt;&lt;urls&gt;&lt;/urls&gt;&lt;/record&gt;&lt;/Cite&gt;&lt;/EndNote&gt;</w:instrText>
      </w:r>
      <w:r w:rsidR="00E102F2">
        <w:fldChar w:fldCharType="separate"/>
      </w:r>
      <w:r>
        <w:rPr>
          <w:noProof/>
        </w:rPr>
        <w:t>(</w:t>
      </w:r>
      <w:hyperlink w:anchor="_ENREF_32" w:tooltip="Hall, 1999 #92" w:history="1">
        <w:r>
          <w:rPr>
            <w:noProof/>
          </w:rPr>
          <w:t>Hall 1999</w:t>
        </w:r>
      </w:hyperlink>
      <w:r>
        <w:rPr>
          <w:noProof/>
        </w:rPr>
        <w:t>)</w:t>
      </w:r>
      <w:r w:rsidR="00E102F2">
        <w:fldChar w:fldCharType="end"/>
      </w:r>
      <w:r>
        <w:t>. For divergence time estimates we included a further five sequences of t</w:t>
      </w:r>
      <w:r w:rsidR="001C1C6E">
        <w:t xml:space="preserve">awny pipit COI published in </w:t>
      </w:r>
      <w:proofErr w:type="spellStart"/>
      <w:r w:rsidR="001C1C6E">
        <w:t>GenB</w:t>
      </w:r>
      <w:r>
        <w:t>ank</w:t>
      </w:r>
      <w:proofErr w:type="spellEnd"/>
      <w:r>
        <w:t xml:space="preserve"> (Accession numbers GQ481330-34). The software BEAST v 1.8.0 </w:t>
      </w:r>
      <w:r w:rsidR="00E102F2">
        <w:fldChar w:fldCharType="begin"/>
      </w:r>
      <w:r>
        <w:instrText xml:space="preserve"> ADDIN EN.CITE &lt;EndNote&gt;&lt;Cite&gt;&lt;Author&gt;Drummond&lt;/Author&gt;&lt;Year&gt;2007&lt;/Year&gt;&lt;RecNum&gt;441&lt;/RecNum&gt;&lt;DisplayText&gt;(Drummond &amp;amp; Rambaut 2007)&lt;/DisplayText&gt;&lt;record&gt;&lt;rec-number&gt;441&lt;/rec-number&gt;&lt;foreign-keys&gt;&lt;key app="EN" db-id="fvzztfrpnx2x55e5sxcxttrw0wrpeztdva9e"&gt;441&lt;/key&gt;&lt;/foreign-keys&gt;&lt;ref-type name="Journal Article"&gt;17&lt;/ref-type&gt;&lt;contributors&gt;&lt;authors&gt;&lt;author&gt;Drummond, Alexei J.&lt;/author&gt;&lt;author&gt;Rambaut, Andrew&lt;/author&gt;&lt;/authors&gt;&lt;/contributors&gt;&lt;titles&gt;&lt;title&gt;BEAST: Bayesian evolutionary analysis by sampling trees&lt;/title&gt;&lt;secondary-title&gt;Bmc Evolutionary Biology&lt;/secondary-title&gt;&lt;/titles&gt;&lt;periodical&gt;&lt;full-title&gt;Bmc Evolutionary Biology&lt;/full-title&gt;&lt;/periodical&gt;&lt;volume&gt;7&lt;/volume&gt;&lt;dates&gt;&lt;year&gt;2007&lt;/year&gt;&lt;pub-dates&gt;&lt;date&gt;Nov 8&lt;/date&gt;&lt;/pub-dates&gt;&lt;/dates&gt;&lt;isbn&gt;1471-2148&lt;/isbn&gt;&lt;accession-num&gt;WOS:000253468300001&lt;/accession-num&gt;&lt;urls&gt;&lt;related-urls&gt;&lt;url&gt;&amp;lt;Go to ISI&amp;gt;://WOS:000253468300001&lt;/url&gt;&lt;/related-urls&gt;&lt;/urls&gt;&lt;electronic-resource-num&gt;214&amp;#xD;10.1186/1471-2148-7-214&lt;/electronic-resource-num&gt;&lt;/record&gt;&lt;/Cite&gt;&lt;/EndNote&gt;</w:instrText>
      </w:r>
      <w:r w:rsidR="00E102F2">
        <w:fldChar w:fldCharType="separate"/>
      </w:r>
      <w:r>
        <w:rPr>
          <w:noProof/>
        </w:rPr>
        <w:t>(</w:t>
      </w:r>
      <w:hyperlink w:anchor="_ENREF_16" w:tooltip="Drummond, 2007 #441" w:history="1">
        <w:r>
          <w:rPr>
            <w:noProof/>
          </w:rPr>
          <w:t>Drummond &amp; Rambaut 2007</w:t>
        </w:r>
      </w:hyperlink>
      <w:r>
        <w:rPr>
          <w:noProof/>
        </w:rPr>
        <w:t>)</w:t>
      </w:r>
      <w:r w:rsidR="00E102F2">
        <w:fldChar w:fldCharType="end"/>
      </w:r>
      <w:r>
        <w:t xml:space="preserve"> was used to estimate divergence times between COI sequences of Berthelot’s and tawny pipits </w:t>
      </w:r>
      <w:r w:rsidRPr="00771FD8">
        <w:t>using constant size population priors, the Hasegawa-</w:t>
      </w:r>
      <w:proofErr w:type="spellStart"/>
      <w:r w:rsidRPr="00771FD8">
        <w:t>Kishino</w:t>
      </w:r>
      <w:proofErr w:type="spellEnd"/>
      <w:r w:rsidRPr="00771FD8">
        <w:t xml:space="preserve">-Yano (HKY) </w:t>
      </w:r>
      <w:r>
        <w:t xml:space="preserve">nucleotide </w:t>
      </w:r>
      <w:r w:rsidRPr="00771FD8">
        <w:t>substitution model and a strict clock with a divergence rate of 2.1% per million years</w:t>
      </w:r>
      <w:r>
        <w:t xml:space="preserve"> </w:t>
      </w:r>
      <w:r w:rsidR="00E102F2">
        <w:fldChar w:fldCharType="begin"/>
      </w:r>
      <w:r>
        <w:instrText xml:space="preserve"> ADDIN EN.CITE &lt;EndNote&gt;&lt;Cite&gt;&lt;Author&gt;Weir&lt;/Author&gt;&lt;Year&gt;2008&lt;/Year&gt;&lt;RecNum&gt;443&lt;/RecNum&gt;&lt;DisplayText&gt;(Weir &amp;amp; Schluter 2008)&lt;/DisplayText&gt;&lt;record&gt;&lt;rec-number&gt;443&lt;/rec-number&gt;&lt;foreign-keys&gt;&lt;key app="EN" db-id="fvzztfrpnx2x55e5sxcxttrw0wrpeztdva9e"&gt;443&lt;/key&gt;&lt;/foreign-keys&gt;&lt;ref-type name="Journal Article"&gt;17&lt;/ref-type&gt;&lt;contributors&gt;&lt;authors&gt;&lt;author&gt;Weir, J. T.&lt;/author&gt;&lt;author&gt;Schluter, D.&lt;/author&gt;&lt;/authors&gt;&lt;/contributors&gt;&lt;titles&gt;&lt;title&gt;Calibrating the avian molecular clock&lt;/title&gt;&lt;secondary-title&gt;Molecular Ecology&lt;/secondary-title&gt;&lt;/titles&gt;&lt;periodical&gt;&lt;full-title&gt;Molecular Ecology&lt;/full-title&gt;&lt;abbr-1&gt;Mol. Ecol.&lt;/abbr-1&gt;&lt;/periodical&gt;&lt;pages&gt;2321-2328&lt;/pages&gt;&lt;volume&gt;17&lt;/volume&gt;&lt;number&gt;10&lt;/number&gt;&lt;dates&gt;&lt;year&gt;2008&lt;/year&gt;&lt;pub-dates&gt;&lt;date&gt;May&lt;/date&gt;&lt;/pub-dates&gt;&lt;/dates&gt;&lt;isbn&gt;0962-1083&lt;/isbn&gt;&lt;accession-num&gt;WOS:000255464800001&lt;/accession-num&gt;&lt;urls&gt;&lt;related-urls&gt;&lt;url&gt;&amp;lt;Go to ISI&amp;gt;://WOS:000255464800001&lt;/url&gt;&lt;/related-urls&gt;&lt;/urls&gt;&lt;electronic-resource-num&gt;10.1111/j.1365-294X.2008.03742.x&lt;/electronic-resource-num&gt;&lt;/record&gt;&lt;/Cite&gt;&lt;/EndNote&gt;</w:instrText>
      </w:r>
      <w:r w:rsidR="00E102F2">
        <w:fldChar w:fldCharType="separate"/>
      </w:r>
      <w:r>
        <w:rPr>
          <w:noProof/>
        </w:rPr>
        <w:t>(</w:t>
      </w:r>
      <w:hyperlink w:anchor="_ENREF_86" w:tooltip="Weir, 2008 #443" w:history="1">
        <w:r>
          <w:rPr>
            <w:noProof/>
          </w:rPr>
          <w:t>Weir &amp; Schluter 2008</w:t>
        </w:r>
      </w:hyperlink>
      <w:r>
        <w:rPr>
          <w:noProof/>
        </w:rPr>
        <w:t>)</w:t>
      </w:r>
      <w:r w:rsidR="00E102F2">
        <w:fldChar w:fldCharType="end"/>
      </w:r>
      <w:r w:rsidRPr="00771FD8">
        <w:t xml:space="preserve">. The software was run for 10 million generations with a burn in of 1 million generations. The software Tracer </w:t>
      </w:r>
      <w:r>
        <w:t xml:space="preserve">v </w:t>
      </w:r>
      <w:r w:rsidRPr="00771FD8">
        <w:t xml:space="preserve">1.5 </w:t>
      </w:r>
      <w:r w:rsidR="00E102F2">
        <w:fldChar w:fldCharType="begin"/>
      </w:r>
      <w:r>
        <w:instrText xml:space="preserve"> ADDIN EN.CITE &lt;EndNote&gt;&lt;Cite&gt;&lt;Author&gt;Rambaut&lt;/Author&gt;&lt;Year&gt;2009&lt;/Year&gt;&lt;RecNum&gt;442&lt;/RecNum&gt;&lt;DisplayText&gt;(Rambaut &amp;amp; Drummond 2009)&lt;/DisplayText&gt;&lt;record&gt;&lt;rec-number&gt;442&lt;/rec-number&gt;&lt;foreign-keys&gt;&lt;key app="EN" db-id="fvzztfrpnx2x55e5sxcxttrw0wrpeztdva9e"&gt;442&lt;/key&gt;&lt;/foreign-keys&gt;&lt;ref-type name="Computer Program"&gt;9&lt;/ref-type&gt;&lt;contributors&gt;&lt;authors&gt;&lt;author&gt;Rambaut, A&lt;/author&gt;&lt;author&gt;Drummond, AJ&lt;/author&gt;&lt;/authors&gt;&lt;/contributors&gt;&lt;titles&gt;&lt;title&gt;Tracer v1. 5 Available from http://beast.bio.ed.ac.uk&lt;/title&gt;&lt;/titles&gt;&lt;dates&gt;&lt;year&gt;2009&lt;/year&gt;&lt;/dates&gt;&lt;urls&gt;&lt;related-urls&gt;&lt;url&gt;http://beast.bio.ed.ac.uk&lt;/url&gt;&lt;/related-urls&gt;&lt;/urls&gt;&lt;/record&gt;&lt;/Cite&gt;&lt;/EndNote&gt;</w:instrText>
      </w:r>
      <w:r w:rsidR="00E102F2">
        <w:fldChar w:fldCharType="separate"/>
      </w:r>
      <w:r>
        <w:rPr>
          <w:noProof/>
        </w:rPr>
        <w:t>(</w:t>
      </w:r>
      <w:hyperlink w:anchor="_ENREF_67" w:tooltip="Rambaut, 2009 #442" w:history="1">
        <w:r>
          <w:rPr>
            <w:noProof/>
          </w:rPr>
          <w:t>Rambaut &amp; Drummond 2009</w:t>
        </w:r>
      </w:hyperlink>
      <w:r>
        <w:rPr>
          <w:noProof/>
        </w:rPr>
        <w:t>)</w:t>
      </w:r>
      <w:r w:rsidR="00E102F2">
        <w:fldChar w:fldCharType="end"/>
      </w:r>
      <w:r>
        <w:t xml:space="preserve"> </w:t>
      </w:r>
      <w:r w:rsidRPr="00771FD8">
        <w:t xml:space="preserve">was then used to assess convergence </w:t>
      </w:r>
      <w:r>
        <w:t>of the chains and to obtain the</w:t>
      </w:r>
      <w:r w:rsidRPr="00771FD8">
        <w:t xml:space="preserve"> mean and 95% intervals of highest posterior density (HPD) estimates of divergence time.</w:t>
      </w:r>
      <w:r>
        <w:t xml:space="preserve"> </w:t>
      </w:r>
    </w:p>
    <w:p w:rsidR="003644B5" w:rsidRPr="005941CE" w:rsidRDefault="003644B5" w:rsidP="003644B5">
      <w:pPr>
        <w:jc w:val="both"/>
        <w:sectPr w:rsidR="003644B5" w:rsidRPr="005941CE" w:rsidSect="000E4B80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123E6" w:rsidRDefault="00727ADE" w:rsidP="003644B5">
      <w:pPr>
        <w:spacing w:line="480" w:lineRule="auto"/>
        <w:jc w:val="both"/>
      </w:pPr>
      <w:r>
        <w:lastRenderedPageBreak/>
        <w:t>Table S1. Number of individuals</w:t>
      </w:r>
      <w:r w:rsidR="000123E6">
        <w:t xml:space="preserve"> screened per island at each TLR locus.</w:t>
      </w:r>
    </w:p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200"/>
        <w:gridCol w:w="1200"/>
        <w:gridCol w:w="1200"/>
        <w:gridCol w:w="1200"/>
        <w:gridCol w:w="1200"/>
      </w:tblGrid>
      <w:tr w:rsidR="000123E6" w:rsidRPr="000123E6" w:rsidTr="00DB23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Archipelago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TLR1LA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TLR1LB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TLR3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TLR4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TLR21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El Hierro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Fuerte Ventura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Gran Canaria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La Gomera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Graciosa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La Palma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Lanzarote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Teide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13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Canary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Islands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Tenerife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15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Deserta Grande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Madeira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Porto Santo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10</w:t>
            </w:r>
          </w:p>
        </w:tc>
      </w:tr>
      <w:tr w:rsidR="000123E6" w:rsidRPr="000123E6" w:rsidTr="00DB23D4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Selvagens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0123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proofErr w:type="spellStart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Selvagem</w:t>
            </w:r>
            <w:proofErr w:type="spellEnd"/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Grande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3E6" w:rsidRPr="000123E6" w:rsidRDefault="000123E6" w:rsidP="00DB2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0123E6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17</w:t>
            </w:r>
          </w:p>
        </w:tc>
      </w:tr>
    </w:tbl>
    <w:p w:rsidR="000123E6" w:rsidRDefault="000123E6" w:rsidP="003644B5">
      <w:pPr>
        <w:spacing w:line="480" w:lineRule="auto"/>
        <w:jc w:val="both"/>
      </w:pPr>
    </w:p>
    <w:p w:rsidR="00DB23D4" w:rsidRDefault="00DB23D4" w:rsidP="003644B5">
      <w:pPr>
        <w:spacing w:line="480" w:lineRule="auto"/>
        <w:jc w:val="both"/>
        <w:sectPr w:rsidR="00DB23D4" w:rsidSect="000E4B80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3644B5" w:rsidRDefault="009F2048" w:rsidP="003644B5">
      <w:pPr>
        <w:spacing w:line="480" w:lineRule="auto"/>
        <w:jc w:val="both"/>
      </w:pPr>
      <w:r>
        <w:lastRenderedPageBreak/>
        <w:t>Table S2</w:t>
      </w:r>
      <w:r w:rsidR="003644B5">
        <w:t xml:space="preserve">. Variation at the exons encoding </w:t>
      </w:r>
      <w:r w:rsidR="004848F8">
        <w:t xml:space="preserve">the </w:t>
      </w:r>
      <w:r w:rsidR="003644B5">
        <w:t>extracellular domains of five toll-like receptor genes in Berthelot’s pipit (</w:t>
      </w:r>
      <w:proofErr w:type="spellStart"/>
      <w:r w:rsidR="003644B5">
        <w:rPr>
          <w:i/>
        </w:rPr>
        <w:t>Anthus</w:t>
      </w:r>
      <w:proofErr w:type="spellEnd"/>
      <w:r w:rsidR="003644B5">
        <w:rPr>
          <w:i/>
        </w:rPr>
        <w:t xml:space="preserve"> </w:t>
      </w:r>
      <w:proofErr w:type="spellStart"/>
      <w:r w:rsidR="003644B5">
        <w:rPr>
          <w:i/>
        </w:rPr>
        <w:t>berthelotii</w:t>
      </w:r>
      <w:proofErr w:type="spellEnd"/>
      <w:r w:rsidR="003644B5">
        <w:t xml:space="preserve">). </w:t>
      </w:r>
    </w:p>
    <w:tbl>
      <w:tblPr>
        <w:tblStyle w:val="LightShading1"/>
        <w:tblW w:w="8456" w:type="dxa"/>
        <w:tblLayout w:type="fixed"/>
        <w:tblLook w:val="04A0" w:firstRow="1" w:lastRow="0" w:firstColumn="1" w:lastColumn="0" w:noHBand="0" w:noVBand="1"/>
      </w:tblPr>
      <w:tblGrid>
        <w:gridCol w:w="1101"/>
        <w:gridCol w:w="442"/>
        <w:gridCol w:w="1117"/>
        <w:gridCol w:w="992"/>
        <w:gridCol w:w="1160"/>
        <w:gridCol w:w="998"/>
        <w:gridCol w:w="583"/>
        <w:gridCol w:w="976"/>
        <w:gridCol w:w="1087"/>
      </w:tblGrid>
      <w:tr w:rsidR="003644B5" w:rsidRPr="00C173A9" w:rsidTr="00045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3644B5" w:rsidRPr="00C173A9" w:rsidRDefault="003644B5" w:rsidP="00045329">
            <w:pPr>
              <w:ind w:left="0" w:firstLine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Locus (exon)</w:t>
            </w:r>
          </w:p>
        </w:tc>
        <w:tc>
          <w:tcPr>
            <w:tcW w:w="442" w:type="dxa"/>
            <w:vAlign w:val="center"/>
          </w:tcPr>
          <w:p w:rsidR="003644B5" w:rsidRPr="00C173A9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C173A9">
              <w:rPr>
                <w:sz w:val="18"/>
                <w:szCs w:val="18"/>
              </w:rPr>
              <w:t>N</w:t>
            </w:r>
            <w:r w:rsidRPr="00C173A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17" w:type="dxa"/>
            <w:vAlign w:val="center"/>
          </w:tcPr>
          <w:p w:rsidR="003644B5" w:rsidRPr="00C173A9" w:rsidRDefault="003644B5" w:rsidP="00045329">
            <w:pPr>
              <w:ind w:left="-6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Fragment length (</w:t>
            </w:r>
            <w:proofErr w:type="spellStart"/>
            <w:r w:rsidRPr="00C173A9">
              <w:rPr>
                <w:sz w:val="18"/>
                <w:szCs w:val="18"/>
              </w:rPr>
              <w:t>bp</w:t>
            </w:r>
            <w:proofErr w:type="spellEnd"/>
            <w:r w:rsidRPr="00C173A9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644B5" w:rsidRDefault="003644B5" w:rsidP="00B84676">
            <w:pPr>
              <w:ind w:left="-10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SNPs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60" w:type="dxa"/>
            <w:vAlign w:val="center"/>
          </w:tcPr>
          <w:p w:rsidR="003644B5" w:rsidRPr="00C173A9" w:rsidRDefault="003644B5" w:rsidP="001503E9">
            <w:pPr>
              <w:ind w:left="-94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 xml:space="preserve">Amino acid </w:t>
            </w:r>
          </w:p>
        </w:tc>
        <w:tc>
          <w:tcPr>
            <w:tcW w:w="998" w:type="dxa"/>
            <w:vAlign w:val="center"/>
          </w:tcPr>
          <w:p w:rsidR="003644B5" w:rsidRPr="009D408D" w:rsidRDefault="003644B5" w:rsidP="00B94C69">
            <w:pPr>
              <w:ind w:left="-3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C173A9">
              <w:rPr>
                <w:sz w:val="18"/>
                <w:szCs w:val="18"/>
              </w:rPr>
              <w:t>Syn:nsyn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83" w:type="dxa"/>
            <w:vAlign w:val="center"/>
          </w:tcPr>
          <w:p w:rsidR="003644B5" w:rsidRPr="00A92D43" w:rsidRDefault="003644B5" w:rsidP="00045329">
            <w:pPr>
              <w:ind w:left="-78" w:right="13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76" w:type="dxa"/>
            <w:vAlign w:val="center"/>
          </w:tcPr>
          <w:p w:rsidR="003644B5" w:rsidRDefault="003644B5" w:rsidP="009B130C">
            <w:pPr>
              <w:ind w:left="-79" w:right="-10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Amino acid</w:t>
            </w:r>
          </w:p>
          <w:p w:rsidR="003644B5" w:rsidRPr="00A92D43" w:rsidRDefault="003644B5" w:rsidP="009B130C">
            <w:pPr>
              <w:ind w:left="-79" w:right="-10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variants</w:t>
            </w:r>
          </w:p>
        </w:tc>
        <w:tc>
          <w:tcPr>
            <w:tcW w:w="1087" w:type="dxa"/>
            <w:vAlign w:val="center"/>
          </w:tcPr>
          <w:p w:rsidR="003644B5" w:rsidRPr="00C173A9" w:rsidRDefault="003644B5" w:rsidP="00315FC9">
            <w:pPr>
              <w:ind w:left="-78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  <w:r w:rsidRPr="00C173A9">
              <w:rPr>
                <w:sz w:val="18"/>
                <w:szCs w:val="18"/>
              </w:rPr>
              <w:sym w:font="Symbol" w:char="F070"/>
            </w:r>
            <w:r>
              <w:rPr>
                <w:sz w:val="18"/>
                <w:szCs w:val="18"/>
              </w:rPr>
              <w:t xml:space="preserve"> x10</w:t>
            </w:r>
            <w:r w:rsidRPr="005072C0">
              <w:rPr>
                <w:sz w:val="18"/>
                <w:szCs w:val="18"/>
                <w:vertAlign w:val="superscript"/>
              </w:rPr>
              <w:t>-4</w:t>
            </w:r>
            <w:r w:rsidRPr="00C173A9">
              <w:rPr>
                <w:sz w:val="18"/>
                <w:szCs w:val="18"/>
              </w:rPr>
              <w:t xml:space="preserve"> (SD)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3644B5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TLR1LA (2)</w:t>
            </w:r>
          </w:p>
        </w:tc>
        <w:tc>
          <w:tcPr>
            <w:tcW w:w="442" w:type="dxa"/>
          </w:tcPr>
          <w:p w:rsidR="003644B5" w:rsidRPr="00C173A9" w:rsidRDefault="000D2378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1011</w:t>
            </w:r>
          </w:p>
        </w:tc>
        <w:tc>
          <w:tcPr>
            <w:tcW w:w="992" w:type="dxa"/>
          </w:tcPr>
          <w:p w:rsidR="003644B5" w:rsidRPr="00C173A9" w:rsidRDefault="003644B5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70: 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998" w:type="dxa"/>
          </w:tcPr>
          <w:p w:rsidR="003644B5" w:rsidRPr="00C173A9" w:rsidRDefault="001503E9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</w:t>
            </w:r>
          </w:p>
        </w:tc>
        <w:tc>
          <w:tcPr>
            <w:tcW w:w="583" w:type="dxa"/>
          </w:tcPr>
          <w:p w:rsidR="003644B5" w:rsidRPr="00C173A9" w:rsidRDefault="001503E9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3644B5" w:rsidRPr="00C173A9" w:rsidRDefault="000B0026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3644B5" w:rsidRPr="00C173A9" w:rsidRDefault="00593E8B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 (3.3</w:t>
            </w:r>
            <w:r w:rsidR="00874809">
              <w:rPr>
                <w:sz w:val="18"/>
                <w:szCs w:val="18"/>
              </w:rPr>
              <w:t>)</w:t>
            </w:r>
          </w:p>
        </w:tc>
      </w:tr>
      <w:tr w:rsidR="006F2CF1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F2CF1" w:rsidRPr="00C173A9" w:rsidRDefault="006F2CF1" w:rsidP="000453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6F2CF1" w:rsidRPr="00C173A9" w:rsidRDefault="006F2CF1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6F2CF1" w:rsidRPr="00C173A9" w:rsidRDefault="006F2CF1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2CF1" w:rsidRPr="00C173A9" w:rsidRDefault="00B84676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  <w:r w:rsidR="006F2CF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C/T</w:t>
            </w:r>
          </w:p>
        </w:tc>
        <w:tc>
          <w:tcPr>
            <w:tcW w:w="1160" w:type="dxa"/>
          </w:tcPr>
          <w:p w:rsidR="006F2CF1" w:rsidRPr="00C173A9" w:rsidRDefault="00354DA4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998" w:type="dxa"/>
          </w:tcPr>
          <w:p w:rsidR="006F2CF1" w:rsidRPr="00C173A9" w:rsidRDefault="006F2CF1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6F2CF1" w:rsidRPr="00C173A9" w:rsidRDefault="006F2CF1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6F2CF1" w:rsidRPr="00C173A9" w:rsidRDefault="006F2CF1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6F2CF1" w:rsidRPr="00C173A9" w:rsidRDefault="006F2CF1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3644B5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284:C/T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Arg</w:t>
            </w:r>
            <w:proofErr w:type="spellEnd"/>
            <w:r w:rsidRPr="00C173A9">
              <w:rPr>
                <w:sz w:val="18"/>
                <w:szCs w:val="18"/>
              </w:rPr>
              <w:t>/</w:t>
            </w:r>
            <w:proofErr w:type="spellStart"/>
            <w:r w:rsidRPr="00C173A9">
              <w:rPr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3644B5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322:C/T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Tyr</w:t>
            </w:r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3644B5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657:C/T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Phe</w:t>
            </w:r>
            <w:proofErr w:type="spellEnd"/>
            <w:r w:rsidRPr="00C173A9">
              <w:rPr>
                <w:sz w:val="18"/>
                <w:szCs w:val="18"/>
              </w:rPr>
              <w:t>/</w:t>
            </w:r>
            <w:proofErr w:type="spellStart"/>
            <w:r w:rsidRPr="00C173A9">
              <w:rPr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3644B5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871:C/T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3644B5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925:C/T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Ala</w:t>
            </w:r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84676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84676" w:rsidRPr="00C173A9" w:rsidRDefault="00B84676" w:rsidP="000453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B84676" w:rsidRPr="00C173A9" w:rsidRDefault="00B84676" w:rsidP="00861AB7">
            <w:pPr>
              <w:ind w:left="-111" w:right="-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B84676" w:rsidRPr="00C173A9" w:rsidRDefault="00B84676" w:rsidP="00861AB7">
            <w:pPr>
              <w:ind w:left="-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4676" w:rsidRPr="00C173A9" w:rsidRDefault="00B84676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986:C/T</w:t>
            </w:r>
          </w:p>
        </w:tc>
        <w:tc>
          <w:tcPr>
            <w:tcW w:w="1160" w:type="dxa"/>
          </w:tcPr>
          <w:p w:rsidR="00B84676" w:rsidRPr="00C173A9" w:rsidRDefault="001503E9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Ser/Pro</w:t>
            </w:r>
          </w:p>
        </w:tc>
        <w:tc>
          <w:tcPr>
            <w:tcW w:w="998" w:type="dxa"/>
          </w:tcPr>
          <w:p w:rsidR="00B84676" w:rsidRPr="00C173A9" w:rsidRDefault="00B84676" w:rsidP="00B94C69">
            <w:pPr>
              <w:ind w:left="-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B84676" w:rsidRPr="00C173A9" w:rsidRDefault="00B84676" w:rsidP="00861AB7">
            <w:pPr>
              <w:ind w:lef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B84676" w:rsidRPr="00C173A9" w:rsidRDefault="00B84676" w:rsidP="009B130C">
            <w:pPr>
              <w:ind w:left="-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B84676" w:rsidRPr="00C173A9" w:rsidRDefault="00B84676" w:rsidP="00315FC9">
            <w:pPr>
              <w:ind w:lef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TLR1LB (1)</w:t>
            </w:r>
          </w:p>
        </w:tc>
        <w:tc>
          <w:tcPr>
            <w:tcW w:w="442" w:type="dxa"/>
          </w:tcPr>
          <w:p w:rsidR="003644B5" w:rsidRPr="00C173A9" w:rsidRDefault="000D2378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97</w:t>
            </w:r>
            <w:r w:rsidR="00DF40A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644B5" w:rsidRPr="00C173A9" w:rsidRDefault="00DF40AD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  <w:r w:rsidR="003644B5" w:rsidRPr="00C173A9">
              <w:rPr>
                <w:sz w:val="18"/>
                <w:szCs w:val="18"/>
              </w:rPr>
              <w:t>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998" w:type="dxa"/>
          </w:tcPr>
          <w:p w:rsidR="003644B5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680">
              <w:rPr>
                <w:sz w:val="18"/>
                <w:szCs w:val="18"/>
              </w:rPr>
              <w:t>:3</w:t>
            </w:r>
          </w:p>
        </w:tc>
        <w:tc>
          <w:tcPr>
            <w:tcW w:w="583" w:type="dxa"/>
          </w:tcPr>
          <w:p w:rsidR="003644B5" w:rsidRPr="00C173A9" w:rsidRDefault="00CE6B7A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3644B5" w:rsidRPr="00C173A9" w:rsidRDefault="00520A8D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3644B5" w:rsidRPr="00C173A9" w:rsidRDefault="003644B5" w:rsidP="00A44680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DF40AD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  <w:r w:rsidR="003644B5" w:rsidRPr="00C173A9">
              <w:rPr>
                <w:sz w:val="18"/>
                <w:szCs w:val="18"/>
              </w:rPr>
              <w:t>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Phe</w:t>
            </w:r>
            <w:proofErr w:type="spellEnd"/>
            <w:r w:rsidRPr="00C173A9">
              <w:rPr>
                <w:sz w:val="18"/>
                <w:szCs w:val="18"/>
              </w:rPr>
              <w:t>/</w:t>
            </w:r>
            <w:proofErr w:type="spellStart"/>
            <w:r w:rsidRPr="00C173A9">
              <w:rPr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DF40AD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  <w:r w:rsidR="003644B5" w:rsidRPr="00C173A9">
              <w:rPr>
                <w:sz w:val="18"/>
                <w:szCs w:val="18"/>
              </w:rPr>
              <w:t>:A/G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Pro</w:t>
            </w:r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3644B5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73</w:t>
            </w:r>
            <w:r w:rsidR="00DF40AD">
              <w:rPr>
                <w:sz w:val="18"/>
                <w:szCs w:val="18"/>
              </w:rPr>
              <w:t>2</w:t>
            </w:r>
            <w:r w:rsidRPr="00C173A9">
              <w:rPr>
                <w:sz w:val="18"/>
                <w:szCs w:val="18"/>
              </w:rPr>
              <w:t>:C/T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44B5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644B5" w:rsidRPr="00C173A9" w:rsidRDefault="003644B5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3644B5" w:rsidRPr="00C173A9" w:rsidRDefault="003644B5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644B5" w:rsidRPr="00C173A9" w:rsidRDefault="003644B5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44B5" w:rsidRPr="00C173A9" w:rsidRDefault="00DF40AD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  <w:r w:rsidR="003644B5" w:rsidRPr="00C173A9">
              <w:rPr>
                <w:sz w:val="18"/>
                <w:szCs w:val="18"/>
              </w:rPr>
              <w:t>:A/G</w:t>
            </w:r>
          </w:p>
        </w:tc>
        <w:tc>
          <w:tcPr>
            <w:tcW w:w="1160" w:type="dxa"/>
          </w:tcPr>
          <w:p w:rsidR="003644B5" w:rsidRPr="00C173A9" w:rsidRDefault="003644B5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Pro</w:t>
            </w:r>
          </w:p>
        </w:tc>
        <w:tc>
          <w:tcPr>
            <w:tcW w:w="998" w:type="dxa"/>
          </w:tcPr>
          <w:p w:rsidR="003644B5" w:rsidRPr="00C173A9" w:rsidRDefault="003644B5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3644B5" w:rsidRPr="00C173A9" w:rsidRDefault="003644B5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3644B5" w:rsidRPr="00C173A9" w:rsidRDefault="003644B5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3644B5" w:rsidRPr="00C173A9" w:rsidRDefault="003644B5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F40AD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DF40AD" w:rsidRPr="00C173A9" w:rsidRDefault="00DF40AD" w:rsidP="000453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DF40AD" w:rsidRPr="00C173A9" w:rsidRDefault="00DF40AD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DF40AD" w:rsidRPr="00C173A9" w:rsidRDefault="00DF40AD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F40AD" w:rsidRDefault="00DF40AD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833:</w:t>
            </w:r>
            <w:r w:rsidRPr="00C173A9">
              <w:rPr>
                <w:sz w:val="18"/>
                <w:szCs w:val="18"/>
              </w:rPr>
              <w:t>A/G</w:t>
            </w:r>
          </w:p>
        </w:tc>
        <w:tc>
          <w:tcPr>
            <w:tcW w:w="1160" w:type="dxa"/>
          </w:tcPr>
          <w:p w:rsidR="00DF40AD" w:rsidRPr="00C173A9" w:rsidRDefault="000D2378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Arg</w:t>
            </w:r>
            <w:proofErr w:type="spellEnd"/>
            <w:r>
              <w:rPr>
                <w:sz w:val="18"/>
                <w:szCs w:val="18"/>
              </w:rPr>
              <w:t>/His</w:t>
            </w:r>
          </w:p>
        </w:tc>
        <w:tc>
          <w:tcPr>
            <w:tcW w:w="998" w:type="dxa"/>
          </w:tcPr>
          <w:p w:rsidR="00DF40AD" w:rsidRPr="00C173A9" w:rsidRDefault="00DF40AD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DF40AD" w:rsidRPr="00C173A9" w:rsidRDefault="00DF40AD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DF40AD" w:rsidRPr="00C173A9" w:rsidRDefault="00DF40AD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DF40AD" w:rsidRPr="00C173A9" w:rsidRDefault="00DF40AD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Default="00FF7A13" w:rsidP="00CE6B7A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CE6B7A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Default="00FF7A13" w:rsidP="00CE6B7A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873:A/G</w:t>
            </w:r>
          </w:p>
        </w:tc>
        <w:tc>
          <w:tcPr>
            <w:tcW w:w="1160" w:type="dxa"/>
          </w:tcPr>
          <w:p w:rsidR="00FF7A13" w:rsidRPr="00C173A9" w:rsidRDefault="00FF7A13" w:rsidP="00CE6B7A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CE6B7A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  <w:r w:rsidRPr="00C173A9">
              <w:rPr>
                <w:sz w:val="18"/>
                <w:szCs w:val="18"/>
              </w:rPr>
              <w:t>:A/G</w:t>
            </w:r>
          </w:p>
        </w:tc>
        <w:tc>
          <w:tcPr>
            <w:tcW w:w="1160" w:type="dxa"/>
          </w:tcPr>
          <w:p w:rsidR="00FF7A13" w:rsidRPr="00C173A9" w:rsidRDefault="00FF7A13" w:rsidP="00CE6B7A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Thr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  <w:r w:rsidRPr="00C173A9">
              <w:rPr>
                <w:sz w:val="18"/>
                <w:szCs w:val="18"/>
              </w:rPr>
              <w:t>:A/T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Leu</w:t>
            </w:r>
            <w:proofErr w:type="spellEnd"/>
            <w:r w:rsidRPr="00C173A9">
              <w:rPr>
                <w:sz w:val="18"/>
                <w:szCs w:val="18"/>
              </w:rPr>
              <w:t>/</w:t>
            </w:r>
            <w:proofErr w:type="spellStart"/>
            <w:r w:rsidRPr="00C173A9">
              <w:rPr>
                <w:sz w:val="18"/>
                <w:szCs w:val="18"/>
              </w:rPr>
              <w:t>Gln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9B130C">
            <w:pPr>
              <w:ind w:left="0" w:firstLine="0"/>
              <w:jc w:val="both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TLR3 (4)</w:t>
            </w: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3:5</w:t>
            </w: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6" w:type="dxa"/>
          </w:tcPr>
          <w:p w:rsidR="00FF7A13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 (1.8)</w:t>
            </w: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88:A/G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Ile/Val</w:t>
            </w:r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197:C/T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Ser</w:t>
            </w:r>
            <w:proofErr w:type="spellEnd"/>
            <w:r w:rsidRPr="00C173A9">
              <w:rPr>
                <w:sz w:val="18"/>
                <w:szCs w:val="18"/>
              </w:rPr>
              <w:t>/</w:t>
            </w:r>
            <w:proofErr w:type="spellStart"/>
            <w:r w:rsidRPr="00C173A9">
              <w:rPr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573:C/T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696:A/G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Val</w:t>
            </w:r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748:C/T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Leu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814:C/G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Asp/His</w:t>
            </w:r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TLR4 (3)</w:t>
            </w: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C173A9">
              <w:rPr>
                <w:sz w:val="18"/>
                <w:szCs w:val="18"/>
              </w:rPr>
              <w:t>:A/G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Asp/</w:t>
            </w:r>
            <w:proofErr w:type="spellStart"/>
            <w:r w:rsidRPr="00C173A9">
              <w:rPr>
                <w:sz w:val="18"/>
                <w:szCs w:val="18"/>
              </w:rPr>
              <w:t>Gly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1:4</w:t>
            </w: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.6 (4.5)</w:t>
            </w: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  <w:r w:rsidRPr="00C173A9">
              <w:rPr>
                <w:sz w:val="18"/>
                <w:szCs w:val="18"/>
              </w:rPr>
              <w:t>:A/G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Lys/</w:t>
            </w:r>
            <w:proofErr w:type="spellStart"/>
            <w:r w:rsidRPr="00C173A9">
              <w:rPr>
                <w:sz w:val="18"/>
                <w:szCs w:val="18"/>
              </w:rPr>
              <w:t>Glu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C173A9">
              <w:rPr>
                <w:sz w:val="18"/>
                <w:szCs w:val="18"/>
              </w:rPr>
              <w:t>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Pro</w:t>
            </w:r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  <w:r w:rsidRPr="00C173A9">
              <w:rPr>
                <w:sz w:val="18"/>
                <w:szCs w:val="18"/>
              </w:rPr>
              <w:t>:A/C/T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Lys/</w:t>
            </w:r>
            <w:proofErr w:type="spellStart"/>
            <w:r w:rsidRPr="00C173A9">
              <w:rPr>
                <w:sz w:val="18"/>
                <w:szCs w:val="18"/>
              </w:rPr>
              <w:t>Thr</w:t>
            </w:r>
            <w:proofErr w:type="spellEnd"/>
            <w:r w:rsidRPr="00C173A9">
              <w:rPr>
                <w:sz w:val="18"/>
                <w:szCs w:val="18"/>
              </w:rPr>
              <w:t>/Met</w:t>
            </w:r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Pr="00C173A9">
              <w:rPr>
                <w:sz w:val="18"/>
                <w:szCs w:val="18"/>
              </w:rPr>
              <w:t>:A/G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Glu</w:t>
            </w:r>
            <w:proofErr w:type="spellEnd"/>
            <w:r w:rsidRPr="00C173A9">
              <w:rPr>
                <w:sz w:val="18"/>
                <w:szCs w:val="18"/>
              </w:rPr>
              <w:t>/</w:t>
            </w:r>
            <w:proofErr w:type="spellStart"/>
            <w:r w:rsidRPr="00C173A9">
              <w:rPr>
                <w:sz w:val="18"/>
                <w:szCs w:val="18"/>
              </w:rPr>
              <w:t>Arg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TLR21 (1)</w:t>
            </w: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247:C/T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Asp</w:t>
            </w:r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173A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FF7A13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28.9 (6.2)</w:t>
            </w: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554:C/T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Leu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Cys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579:C/G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Gly</w:t>
            </w:r>
            <w:proofErr w:type="spellEnd"/>
            <w:r w:rsidRPr="00C173A9">
              <w:rPr>
                <w:sz w:val="18"/>
                <w:szCs w:val="18"/>
              </w:rPr>
              <w:t>/</w:t>
            </w:r>
            <w:proofErr w:type="spellStart"/>
            <w:r w:rsidRPr="00C173A9">
              <w:rPr>
                <w:sz w:val="18"/>
                <w:szCs w:val="18"/>
              </w:rPr>
              <w:t>Ala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3" w:rsidRPr="00C173A9" w:rsidRDefault="00FF7A13" w:rsidP="00B84676">
            <w:p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607:C/T</w:t>
            </w:r>
          </w:p>
        </w:tc>
        <w:tc>
          <w:tcPr>
            <w:tcW w:w="1160" w:type="dxa"/>
          </w:tcPr>
          <w:p w:rsidR="00FF7A13" w:rsidRPr="00C173A9" w:rsidRDefault="00FF7A13" w:rsidP="001503E9">
            <w:pPr>
              <w:ind w:left="-9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C173A9">
              <w:rPr>
                <w:sz w:val="18"/>
                <w:szCs w:val="18"/>
              </w:rPr>
              <w:t>Phe</w:t>
            </w:r>
            <w:proofErr w:type="spellEnd"/>
          </w:p>
        </w:tc>
        <w:tc>
          <w:tcPr>
            <w:tcW w:w="998" w:type="dxa"/>
          </w:tcPr>
          <w:p w:rsidR="00FF7A13" w:rsidRPr="00C173A9" w:rsidRDefault="00FF7A13" w:rsidP="00B94C69">
            <w:pPr>
              <w:ind w:left="-3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83" w:type="dxa"/>
          </w:tcPr>
          <w:p w:rsidR="00FF7A13" w:rsidRPr="00C173A9" w:rsidRDefault="00FF7A13" w:rsidP="00861AB7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FF7A13" w:rsidRPr="00C173A9" w:rsidRDefault="00FF7A13" w:rsidP="009B130C">
            <w:pPr>
              <w:ind w:left="-79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F7A13" w:rsidRPr="00C173A9" w:rsidTr="00045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F7A13" w:rsidRPr="00C173A9" w:rsidRDefault="00FF7A13" w:rsidP="00045329">
            <w:pPr>
              <w:ind w:left="0" w:firstLine="0"/>
              <w:jc w:val="both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Mean</w:t>
            </w:r>
          </w:p>
        </w:tc>
        <w:tc>
          <w:tcPr>
            <w:tcW w:w="442" w:type="dxa"/>
          </w:tcPr>
          <w:p w:rsidR="00FF7A13" w:rsidRPr="00C173A9" w:rsidRDefault="00FF7A13" w:rsidP="00861AB7">
            <w:pPr>
              <w:ind w:left="-111" w:right="-113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FF7A13" w:rsidRPr="00C173A9" w:rsidRDefault="00FF7A13" w:rsidP="00861AB7">
            <w:pPr>
              <w:ind w:left="-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73A9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1.8</w:t>
            </w:r>
          </w:p>
        </w:tc>
        <w:tc>
          <w:tcPr>
            <w:tcW w:w="992" w:type="dxa"/>
          </w:tcPr>
          <w:p w:rsidR="00FF7A13" w:rsidRPr="008C3D22" w:rsidRDefault="00FF7A13" w:rsidP="00B84676">
            <w:pPr>
              <w:ind w:left="-10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FF7A13" w:rsidRPr="008C3D22" w:rsidRDefault="00FF7A13" w:rsidP="001503E9">
            <w:pPr>
              <w:ind w:left="-9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FF7A13" w:rsidRPr="008C3D22" w:rsidRDefault="004848F8" w:rsidP="00B94C69">
            <w:pPr>
              <w:ind w:left="-3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3D22">
              <w:rPr>
                <w:sz w:val="18"/>
                <w:szCs w:val="18"/>
              </w:rPr>
              <w:t>6.4</w:t>
            </w:r>
            <w:r w:rsidR="00FF7A13">
              <w:rPr>
                <w:sz w:val="18"/>
                <w:szCs w:val="18"/>
              </w:rPr>
              <w:t>:3.6</w:t>
            </w:r>
          </w:p>
        </w:tc>
        <w:tc>
          <w:tcPr>
            <w:tcW w:w="583" w:type="dxa"/>
          </w:tcPr>
          <w:p w:rsidR="00FF7A13" w:rsidRPr="008C3D22" w:rsidRDefault="00FF7A13" w:rsidP="00861AB7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976" w:type="dxa"/>
          </w:tcPr>
          <w:p w:rsidR="00FF7A13" w:rsidRDefault="00FF7A13" w:rsidP="009B130C">
            <w:pPr>
              <w:ind w:left="-79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7" w:type="dxa"/>
          </w:tcPr>
          <w:p w:rsidR="00FF7A13" w:rsidRPr="00C173A9" w:rsidRDefault="00FF7A13" w:rsidP="00315FC9">
            <w:pPr>
              <w:ind w:left="-78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644B5" w:rsidRPr="000574B6" w:rsidRDefault="003644B5" w:rsidP="003644B5">
      <w:pPr>
        <w:spacing w:line="480" w:lineRule="auto"/>
        <w:jc w:val="both"/>
      </w:pPr>
      <w:r w:rsidRPr="000574B6">
        <w:rPr>
          <w:vertAlign w:val="superscript"/>
        </w:rPr>
        <w:t>1</w:t>
      </w:r>
      <w:r w:rsidRPr="000574B6">
        <w:t xml:space="preserve">Number of individuals genotyped </w:t>
      </w:r>
    </w:p>
    <w:p w:rsidR="003644B5" w:rsidRPr="000574B6" w:rsidRDefault="003644B5" w:rsidP="003644B5">
      <w:pPr>
        <w:spacing w:line="480" w:lineRule="auto"/>
        <w:jc w:val="both"/>
      </w:pPr>
      <w:r w:rsidRPr="000574B6">
        <w:rPr>
          <w:vertAlign w:val="superscript"/>
        </w:rPr>
        <w:t>2</w:t>
      </w:r>
      <w:r w:rsidRPr="000574B6">
        <w:t>Single nucleotide polymorphisms. Number indicates nucleotide position in the sequence.</w:t>
      </w:r>
    </w:p>
    <w:p w:rsidR="003644B5" w:rsidRPr="000574B6" w:rsidRDefault="003644B5" w:rsidP="003644B5">
      <w:pPr>
        <w:spacing w:line="480" w:lineRule="auto"/>
        <w:jc w:val="both"/>
      </w:pPr>
      <w:r w:rsidRPr="000574B6">
        <w:rPr>
          <w:vertAlign w:val="superscript"/>
        </w:rPr>
        <w:t>3</w:t>
      </w:r>
      <w:r w:rsidRPr="000574B6">
        <w:t>Number of synonymous to number of nonsynonymous mutations</w:t>
      </w:r>
    </w:p>
    <w:p w:rsidR="003644B5" w:rsidRPr="000574B6" w:rsidRDefault="003644B5" w:rsidP="003644B5">
      <w:pPr>
        <w:spacing w:line="480" w:lineRule="auto"/>
        <w:jc w:val="both"/>
      </w:pPr>
      <w:r w:rsidRPr="000574B6">
        <w:rPr>
          <w:vertAlign w:val="superscript"/>
        </w:rPr>
        <w:t>4</w:t>
      </w:r>
      <w:r w:rsidRPr="000574B6">
        <w:t>Number of haplotypes</w:t>
      </w:r>
    </w:p>
    <w:p w:rsidR="003644B5" w:rsidRPr="000574B6" w:rsidRDefault="003644B5" w:rsidP="003644B5">
      <w:pPr>
        <w:spacing w:line="480" w:lineRule="auto"/>
        <w:jc w:val="both"/>
      </w:pPr>
      <w:r w:rsidRPr="000574B6">
        <w:rPr>
          <w:vertAlign w:val="superscript"/>
        </w:rPr>
        <w:t>5</w:t>
      </w:r>
      <w:r w:rsidRPr="000574B6">
        <w:t>Nucleotide diversity (Standard deviation)</w:t>
      </w:r>
    </w:p>
    <w:p w:rsidR="003644B5" w:rsidRDefault="003644B5" w:rsidP="003644B5">
      <w:pPr>
        <w:spacing w:line="480" w:lineRule="auto"/>
        <w:jc w:val="both"/>
      </w:pPr>
    </w:p>
    <w:p w:rsidR="003644B5" w:rsidRDefault="003644B5" w:rsidP="003644B5">
      <w:pPr>
        <w:spacing w:line="480" w:lineRule="auto"/>
        <w:jc w:val="both"/>
        <w:sectPr w:rsidR="003644B5" w:rsidSect="000E4B80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3644B5" w:rsidRDefault="009F2048" w:rsidP="003644B5">
      <w:pPr>
        <w:spacing w:line="480" w:lineRule="auto"/>
        <w:jc w:val="both"/>
      </w:pPr>
      <w:r>
        <w:lastRenderedPageBreak/>
        <w:t>Table S3</w:t>
      </w:r>
      <w:r w:rsidR="00045329">
        <w:t>.</w:t>
      </w:r>
      <w:r w:rsidR="003644B5">
        <w:t xml:space="preserve"> Haplotypes identified at the five TLR loci in Berthelot’s pipit, </w:t>
      </w:r>
      <w:proofErr w:type="spellStart"/>
      <w:r w:rsidR="003644B5">
        <w:t>A</w:t>
      </w:r>
      <w:r w:rsidR="003644B5">
        <w:rPr>
          <w:i/>
        </w:rPr>
        <w:t>nthus</w:t>
      </w:r>
      <w:proofErr w:type="spellEnd"/>
      <w:r w:rsidR="003644B5">
        <w:rPr>
          <w:i/>
        </w:rPr>
        <w:t xml:space="preserve"> </w:t>
      </w:r>
      <w:proofErr w:type="spellStart"/>
      <w:r w:rsidR="003644B5">
        <w:rPr>
          <w:i/>
        </w:rPr>
        <w:t>berthelotii</w:t>
      </w:r>
      <w:proofErr w:type="spellEnd"/>
      <w:r w:rsidR="003644B5">
        <w:t xml:space="preserve"> and tawny pipit, </w:t>
      </w:r>
      <w:r w:rsidR="003644B5">
        <w:rPr>
          <w:i/>
        </w:rPr>
        <w:t xml:space="preserve">A. </w:t>
      </w:r>
      <w:proofErr w:type="spellStart"/>
      <w:r w:rsidR="003644B5">
        <w:rPr>
          <w:i/>
        </w:rPr>
        <w:t>campestris</w:t>
      </w:r>
      <w:proofErr w:type="spellEnd"/>
      <w:r w:rsidR="003644B5">
        <w:t>, populations. CI = Canary Islands</w:t>
      </w:r>
      <w:r w:rsidR="001922B9">
        <w:t>, M = Madeira</w:t>
      </w:r>
      <w:r w:rsidR="003644B5">
        <w:t xml:space="preserve">, S = </w:t>
      </w:r>
      <w:proofErr w:type="spellStart"/>
      <w:r w:rsidR="003644B5">
        <w:t>Selvagem</w:t>
      </w:r>
      <w:proofErr w:type="spellEnd"/>
      <w:r w:rsidR="003644B5">
        <w:t xml:space="preserve"> Grande</w:t>
      </w:r>
      <w:r w:rsidR="001922B9">
        <w:t xml:space="preserve">, IP = Iberian Peninsula, </w:t>
      </w:r>
      <w:proofErr w:type="spellStart"/>
      <w:proofErr w:type="gramStart"/>
      <w:r w:rsidR="001922B9">
        <w:t>Af</w:t>
      </w:r>
      <w:proofErr w:type="spellEnd"/>
      <w:proofErr w:type="gramEnd"/>
      <w:r w:rsidR="001922B9">
        <w:t xml:space="preserve"> = north Africa</w:t>
      </w:r>
      <w:r w:rsidR="003644B5">
        <w:t>.</w:t>
      </w:r>
      <w:r w:rsidR="003644B5" w:rsidRPr="001C1A8E">
        <w:t xml:space="preserve"> </w:t>
      </w:r>
      <w:r w:rsidR="003644B5">
        <w:t>Only variable sites are shown in the sequence.</w:t>
      </w:r>
    </w:p>
    <w:tbl>
      <w:tblPr>
        <w:tblStyle w:val="LightShading1"/>
        <w:tblW w:w="9747" w:type="dxa"/>
        <w:tblLook w:val="04A0" w:firstRow="1" w:lastRow="0" w:firstColumn="1" w:lastColumn="0" w:noHBand="0" w:noVBand="1"/>
      </w:tblPr>
      <w:tblGrid>
        <w:gridCol w:w="1244"/>
        <w:gridCol w:w="1167"/>
        <w:gridCol w:w="1001"/>
        <w:gridCol w:w="708"/>
        <w:gridCol w:w="1239"/>
        <w:gridCol w:w="1036"/>
        <w:gridCol w:w="1036"/>
        <w:gridCol w:w="1036"/>
        <w:gridCol w:w="1280"/>
      </w:tblGrid>
      <w:tr w:rsidR="003644B5" w:rsidRPr="00782CD4" w:rsidTr="0019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644B5" w:rsidRPr="00023F4C" w:rsidRDefault="003644B5" w:rsidP="00045329">
            <w:pPr>
              <w:ind w:left="0" w:firstLine="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</w:pPr>
            <w:r w:rsidRPr="007208F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  <w:t>A.</w:t>
            </w: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23F4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  <w:t>berthelotii</w:t>
            </w:r>
            <w:proofErr w:type="spellEnd"/>
          </w:p>
          <w:p w:rsidR="003644B5" w:rsidRPr="00216344" w:rsidRDefault="003644B5" w:rsidP="00045329">
            <w:pPr>
              <w:pStyle w:val="Prrafodelista"/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163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allele</w:t>
            </w:r>
          </w:p>
        </w:tc>
        <w:tc>
          <w:tcPr>
            <w:tcW w:w="1167" w:type="dxa"/>
            <w:noWrap/>
            <w:vAlign w:val="center"/>
            <w:hideMark/>
          </w:tcPr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Sequence</w:t>
            </w:r>
          </w:p>
        </w:tc>
        <w:tc>
          <w:tcPr>
            <w:tcW w:w="1001" w:type="dxa"/>
            <w:vAlign w:val="center"/>
          </w:tcPr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Amino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acid variant</w:t>
            </w:r>
          </w:p>
        </w:tc>
        <w:tc>
          <w:tcPr>
            <w:tcW w:w="708" w:type="dxa"/>
            <w:noWrap/>
            <w:vAlign w:val="center"/>
            <w:hideMark/>
          </w:tcPr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N</w:t>
            </w: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 w:eastAsia="en-GB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Frequency</w:t>
            </w: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en-GB" w:eastAsia="en-GB"/>
              </w:rPr>
              <w:t>2</w:t>
            </w:r>
          </w:p>
        </w:tc>
        <w:tc>
          <w:tcPr>
            <w:tcW w:w="1036" w:type="dxa"/>
            <w:vAlign w:val="center"/>
          </w:tcPr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Frequency</w:t>
            </w:r>
          </w:p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In 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Frequency in M</w:t>
            </w:r>
          </w:p>
        </w:tc>
        <w:tc>
          <w:tcPr>
            <w:tcW w:w="1036" w:type="dxa"/>
            <w:vAlign w:val="center"/>
          </w:tcPr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Frequency in S</w:t>
            </w:r>
          </w:p>
        </w:tc>
        <w:tc>
          <w:tcPr>
            <w:tcW w:w="1280" w:type="dxa"/>
            <w:vAlign w:val="center"/>
          </w:tcPr>
          <w:p w:rsidR="003644B5" w:rsidRDefault="005F2A04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GenB</w:t>
            </w:r>
            <w:r w:rsidR="003644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ank</w:t>
            </w:r>
            <w:proofErr w:type="spellEnd"/>
          </w:p>
          <w:p w:rsidR="003644B5" w:rsidRPr="00782CD4" w:rsidRDefault="003644B5" w:rsidP="00045329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Accession #</w:t>
            </w:r>
          </w:p>
        </w:tc>
      </w:tr>
      <w:tr w:rsidR="001922B9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TLR1LA_1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CCCTCC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tabs>
                <w:tab w:val="left" w:pos="129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407101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285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7208F3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594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0.357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KJ414322</w:t>
            </w:r>
          </w:p>
        </w:tc>
      </w:tr>
      <w:tr w:rsidR="001922B9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TLR1LA_2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TCCCTCCT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0.332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407101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315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7208F3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219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0.643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KJ414323</w:t>
            </w:r>
          </w:p>
        </w:tc>
      </w:tr>
      <w:tr w:rsidR="001922B9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TLR1LA_3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CCC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CCC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109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KJ414324</w:t>
            </w:r>
          </w:p>
        </w:tc>
      </w:tr>
      <w:tr w:rsidR="001922B9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TLR1LA_4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TCCCCCCT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TLR1LA-2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015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KJ414325</w:t>
            </w:r>
          </w:p>
        </w:tc>
      </w:tr>
      <w:tr w:rsidR="001922B9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TLR1LA_5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TCCCTCTT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TLR1LA-1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078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KJ414326</w:t>
            </w:r>
          </w:p>
        </w:tc>
      </w:tr>
      <w:tr w:rsidR="001922B9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TLR1LA_6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CCTCTCCT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TLR1LA-3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0.000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KJ414327</w:t>
            </w:r>
          </w:p>
        </w:tc>
      </w:tr>
      <w:tr w:rsidR="001922B9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TLR1LA_7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TCCCTTTT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TLR1LA-1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0.020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KJ414328</w:t>
            </w:r>
          </w:p>
        </w:tc>
      </w:tr>
      <w:tr w:rsidR="001922B9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TLR1LA_8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CCCTCCCT</w:t>
            </w:r>
          </w:p>
        </w:tc>
        <w:tc>
          <w:tcPr>
            <w:tcW w:w="1001" w:type="dxa"/>
            <w:vAlign w:val="center"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TLR1LA-2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005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1922B9" w:rsidRPr="00782CD4" w:rsidRDefault="003079B3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KJ414329</w:t>
            </w:r>
          </w:p>
        </w:tc>
      </w:tr>
      <w:tr w:rsidR="001922B9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Pr="00782CD4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TLR1LA_9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TCCCTCCC</w:t>
            </w:r>
          </w:p>
        </w:tc>
        <w:tc>
          <w:tcPr>
            <w:tcW w:w="1001" w:type="dxa"/>
            <w:vAlign w:val="center"/>
          </w:tcPr>
          <w:p w:rsidR="001922B9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TLR1LA-4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Default="001922B9" w:rsidP="001922B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280" w:type="dxa"/>
            <w:vAlign w:val="center"/>
          </w:tcPr>
          <w:p w:rsidR="001922B9" w:rsidRDefault="003079B3" w:rsidP="001922B9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079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KT931986</w:t>
            </w:r>
          </w:p>
        </w:tc>
      </w:tr>
      <w:tr w:rsidR="001922B9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1922B9" w:rsidRDefault="001922B9" w:rsidP="001922B9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TLR1LA_10</w:t>
            </w:r>
          </w:p>
        </w:tc>
        <w:tc>
          <w:tcPr>
            <w:tcW w:w="1167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CTCCCCCT</w:t>
            </w:r>
          </w:p>
        </w:tc>
        <w:tc>
          <w:tcPr>
            <w:tcW w:w="1001" w:type="dxa"/>
            <w:vAlign w:val="center"/>
          </w:tcPr>
          <w:p w:rsidR="001922B9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TLR1LA-5</w:t>
            </w:r>
          </w:p>
        </w:tc>
        <w:tc>
          <w:tcPr>
            <w:tcW w:w="708" w:type="dxa"/>
            <w:noWrap/>
            <w:vAlign w:val="center"/>
            <w:hideMark/>
          </w:tcPr>
          <w:p w:rsidR="001922B9" w:rsidRPr="00782CD4" w:rsidRDefault="001922B9" w:rsidP="001922B9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noWrap/>
            <w:vAlign w:val="center"/>
            <w:hideMark/>
          </w:tcPr>
          <w:p w:rsidR="001922B9" w:rsidRDefault="001922B9" w:rsidP="001922B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36" w:type="dxa"/>
            <w:vAlign w:val="center"/>
          </w:tcPr>
          <w:p w:rsidR="001922B9" w:rsidRPr="001922B9" w:rsidRDefault="001922B9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036" w:type="dxa"/>
            <w:vAlign w:val="center"/>
          </w:tcPr>
          <w:p w:rsidR="001922B9" w:rsidRPr="00782CD4" w:rsidRDefault="001922B9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280" w:type="dxa"/>
            <w:vAlign w:val="center"/>
          </w:tcPr>
          <w:p w:rsidR="001922B9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KT931987</w:t>
            </w:r>
          </w:p>
        </w:tc>
      </w:tr>
      <w:tr w:rsidR="00E764B7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CTGCGGGGT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636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281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0.321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KJ414330</w:t>
            </w:r>
          </w:p>
        </w:tc>
      </w:tr>
      <w:tr w:rsidR="00E764B7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TLR1LB_2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CCGCGGGGT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308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375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0.679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KJ414331</w:t>
            </w:r>
          </w:p>
        </w:tc>
      </w:tr>
      <w:tr w:rsidR="00E764B7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TLR1LB_3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CCGCAGGGT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020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094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KJ414332</w:t>
            </w:r>
          </w:p>
        </w:tc>
      </w:tr>
      <w:tr w:rsidR="00E764B7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TLR1LB_4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TCGCGGGGT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015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KJ414333</w:t>
            </w:r>
          </w:p>
        </w:tc>
      </w:tr>
      <w:tr w:rsidR="00E764B7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TLR1LB_5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CCACGGGGT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156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KJ414334</w:t>
            </w:r>
          </w:p>
        </w:tc>
      </w:tr>
      <w:tr w:rsidR="00E764B7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TLR1LB_6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CCGCGGAGT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063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KJ414335</w:t>
            </w:r>
          </w:p>
        </w:tc>
      </w:tr>
      <w:tr w:rsidR="00E764B7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TLR1LB_7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TCGCGAGGT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TLR1LB-3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005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KJ414336</w:t>
            </w:r>
          </w:p>
        </w:tc>
      </w:tr>
      <w:tr w:rsidR="00E764B7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TLR1LB_8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CCGCGGGAT</w:t>
            </w:r>
          </w:p>
        </w:tc>
        <w:tc>
          <w:tcPr>
            <w:tcW w:w="1001" w:type="dxa"/>
            <w:vAlign w:val="center"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TLR1LB-2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010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E764B7" w:rsidRPr="00782CD4" w:rsidRDefault="003079B3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KJ414337</w:t>
            </w:r>
          </w:p>
        </w:tc>
      </w:tr>
      <w:tr w:rsidR="00E764B7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TLR1LB_9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CTATGGGGT</w:t>
            </w:r>
          </w:p>
        </w:tc>
        <w:tc>
          <w:tcPr>
            <w:tcW w:w="1001" w:type="dxa"/>
            <w:vAlign w:val="center"/>
          </w:tcPr>
          <w:p w:rsidR="00E764B7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TLR1LB-4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Default="00E764B7" w:rsidP="00E764B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031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280" w:type="dxa"/>
            <w:vAlign w:val="center"/>
          </w:tcPr>
          <w:p w:rsidR="00E764B7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KT931988</w:t>
            </w:r>
          </w:p>
        </w:tc>
      </w:tr>
      <w:tr w:rsidR="00E764B7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E764B7" w:rsidRPr="00782CD4" w:rsidRDefault="00E764B7" w:rsidP="00E764B7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TLR1LB_10</w:t>
            </w:r>
          </w:p>
        </w:tc>
        <w:tc>
          <w:tcPr>
            <w:tcW w:w="1167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CCGCGGGAA</w:t>
            </w:r>
          </w:p>
        </w:tc>
        <w:tc>
          <w:tcPr>
            <w:tcW w:w="1001" w:type="dxa"/>
            <w:vAlign w:val="center"/>
          </w:tcPr>
          <w:p w:rsidR="00E764B7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TLR1LB-5</w:t>
            </w:r>
          </w:p>
        </w:tc>
        <w:tc>
          <w:tcPr>
            <w:tcW w:w="708" w:type="dxa"/>
            <w:noWrap/>
            <w:vAlign w:val="center"/>
            <w:hideMark/>
          </w:tcPr>
          <w:p w:rsidR="00E764B7" w:rsidRPr="00782CD4" w:rsidRDefault="00E764B7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E764B7" w:rsidRDefault="00E764B7" w:rsidP="00E764B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36" w:type="dxa"/>
            <w:vAlign w:val="center"/>
          </w:tcPr>
          <w:p w:rsidR="00E764B7" w:rsidRPr="001922B9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22B9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1922B9">
              <w:rPr>
                <w:sz w:val="18"/>
                <w:szCs w:val="18"/>
              </w:rPr>
              <w:t>005</w:t>
            </w:r>
          </w:p>
        </w:tc>
        <w:tc>
          <w:tcPr>
            <w:tcW w:w="1036" w:type="dxa"/>
            <w:vAlign w:val="center"/>
          </w:tcPr>
          <w:p w:rsidR="00E764B7" w:rsidRPr="00E764B7" w:rsidRDefault="00E764B7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E764B7">
              <w:rPr>
                <w:sz w:val="18"/>
                <w:szCs w:val="18"/>
              </w:rPr>
              <w:t>0</w:t>
            </w:r>
            <w:r w:rsidR="00E7001D">
              <w:rPr>
                <w:sz w:val="18"/>
                <w:szCs w:val="18"/>
              </w:rPr>
              <w:t>.</w:t>
            </w:r>
            <w:r w:rsidRPr="00E764B7">
              <w:rPr>
                <w:sz w:val="18"/>
                <w:szCs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E764B7" w:rsidRPr="00782CD4" w:rsidRDefault="00E764B7" w:rsidP="0041138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0.000</w:t>
            </w:r>
          </w:p>
        </w:tc>
        <w:tc>
          <w:tcPr>
            <w:tcW w:w="1280" w:type="dxa"/>
            <w:vAlign w:val="center"/>
          </w:tcPr>
          <w:p w:rsidR="00E764B7" w:rsidRDefault="003079B3" w:rsidP="00E764B7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KT931989</w:t>
            </w:r>
          </w:p>
        </w:tc>
      </w:tr>
      <w:tr w:rsidR="00243EA2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CACCTACG</w:t>
            </w:r>
          </w:p>
        </w:tc>
        <w:tc>
          <w:tcPr>
            <w:tcW w:w="1001" w:type="dxa"/>
            <w:vAlign w:val="center"/>
          </w:tcPr>
          <w:p w:rsidR="00243EA2" w:rsidRPr="00782CD4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671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413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260</w:t>
            </w:r>
          </w:p>
        </w:tc>
        <w:tc>
          <w:tcPr>
            <w:tcW w:w="1280" w:type="dxa"/>
            <w:vAlign w:val="center"/>
          </w:tcPr>
          <w:p w:rsidR="00243EA2" w:rsidRPr="00782CD4" w:rsidRDefault="003079B3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KJ414338</w:t>
            </w:r>
          </w:p>
        </w:tc>
      </w:tr>
      <w:tr w:rsidR="00243EA2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TLR3_2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CACCTATG</w:t>
            </w:r>
          </w:p>
        </w:tc>
        <w:tc>
          <w:tcPr>
            <w:tcW w:w="1001" w:type="dxa"/>
            <w:vAlign w:val="center"/>
          </w:tcPr>
          <w:p w:rsidR="00243EA2" w:rsidRPr="00782CD4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096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243EA2" w:rsidRPr="00782CD4" w:rsidRDefault="003079B3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KJ414339</w:t>
            </w:r>
          </w:p>
        </w:tc>
      </w:tr>
      <w:tr w:rsidR="00243EA2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TLR3_3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CATCTACG</w:t>
            </w:r>
          </w:p>
        </w:tc>
        <w:tc>
          <w:tcPr>
            <w:tcW w:w="1001" w:type="dxa"/>
            <w:vAlign w:val="center"/>
          </w:tcPr>
          <w:p w:rsidR="00243EA2" w:rsidRPr="00782CD4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039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243EA2" w:rsidRPr="00782CD4" w:rsidRDefault="003079B3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KJ414340</w:t>
            </w:r>
          </w:p>
        </w:tc>
      </w:tr>
      <w:tr w:rsidR="00243EA2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TLR3_4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CACCTACC</w:t>
            </w:r>
          </w:p>
        </w:tc>
        <w:tc>
          <w:tcPr>
            <w:tcW w:w="1001" w:type="dxa"/>
            <w:vAlign w:val="center"/>
          </w:tcPr>
          <w:p w:rsidR="00243EA2" w:rsidRPr="00782CD4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TLR3-3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077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243EA2" w:rsidRPr="00782CD4" w:rsidRDefault="003079B3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KJ414341</w:t>
            </w:r>
          </w:p>
        </w:tc>
      </w:tr>
      <w:tr w:rsidR="00243EA2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TLR3_5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CACCCACG</w:t>
            </w:r>
          </w:p>
        </w:tc>
        <w:tc>
          <w:tcPr>
            <w:tcW w:w="1001" w:type="dxa"/>
            <w:vAlign w:val="center"/>
          </w:tcPr>
          <w:p w:rsidR="00243EA2" w:rsidRPr="00782CD4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TLR3-1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0.155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055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306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740</w:t>
            </w:r>
          </w:p>
        </w:tc>
        <w:tc>
          <w:tcPr>
            <w:tcW w:w="1280" w:type="dxa"/>
            <w:vAlign w:val="center"/>
          </w:tcPr>
          <w:p w:rsidR="00243EA2" w:rsidRPr="00782CD4" w:rsidRDefault="003079B3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KJ414342</w:t>
            </w:r>
          </w:p>
        </w:tc>
      </w:tr>
      <w:tr w:rsidR="00243EA2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TLR3_6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CGCCTACG</w:t>
            </w:r>
          </w:p>
        </w:tc>
        <w:tc>
          <w:tcPr>
            <w:tcW w:w="1001" w:type="dxa"/>
            <w:vAlign w:val="center"/>
          </w:tcPr>
          <w:p w:rsidR="00243EA2" w:rsidRPr="00782CD4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TLR3-4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038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243EA2" w:rsidRPr="00782CD4" w:rsidRDefault="003079B3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KJ414343</w:t>
            </w:r>
          </w:p>
        </w:tc>
      </w:tr>
      <w:tr w:rsidR="00243EA2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TLR3_7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CACCTGCG</w:t>
            </w:r>
          </w:p>
        </w:tc>
        <w:tc>
          <w:tcPr>
            <w:tcW w:w="1001" w:type="dxa"/>
            <w:vAlign w:val="center"/>
          </w:tcPr>
          <w:p w:rsidR="00243EA2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TLR3-1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019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181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243EA2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KT931990</w:t>
            </w:r>
          </w:p>
        </w:tc>
      </w:tr>
      <w:tr w:rsidR="00243EA2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TLR3_8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TACCTACG</w:t>
            </w:r>
          </w:p>
        </w:tc>
        <w:tc>
          <w:tcPr>
            <w:tcW w:w="1001" w:type="dxa"/>
            <w:vAlign w:val="center"/>
          </w:tcPr>
          <w:p w:rsidR="00243EA2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TLR3-5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Default="00243EA2" w:rsidP="00243EA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100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243EA2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KT931991</w:t>
            </w:r>
          </w:p>
        </w:tc>
      </w:tr>
      <w:tr w:rsidR="00243EA2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243EA2" w:rsidRPr="00782CD4" w:rsidRDefault="00243EA2" w:rsidP="00243EA2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TLR3_9</w:t>
            </w:r>
          </w:p>
        </w:tc>
        <w:tc>
          <w:tcPr>
            <w:tcW w:w="1167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CACTTACG</w:t>
            </w:r>
          </w:p>
        </w:tc>
        <w:tc>
          <w:tcPr>
            <w:tcW w:w="1001" w:type="dxa"/>
            <w:vAlign w:val="center"/>
          </w:tcPr>
          <w:p w:rsidR="00243EA2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TLR3-6</w:t>
            </w:r>
          </w:p>
        </w:tc>
        <w:tc>
          <w:tcPr>
            <w:tcW w:w="708" w:type="dxa"/>
            <w:noWrap/>
            <w:vAlign w:val="center"/>
            <w:hideMark/>
          </w:tcPr>
          <w:p w:rsidR="00243EA2" w:rsidRPr="00782CD4" w:rsidRDefault="00243EA2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noWrap/>
            <w:vAlign w:val="center"/>
            <w:hideMark/>
          </w:tcPr>
          <w:p w:rsidR="00243EA2" w:rsidRDefault="00243EA2" w:rsidP="00243EA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006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243EA2" w:rsidRPr="00243EA2" w:rsidRDefault="00243EA2" w:rsidP="00E7001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43EA2">
              <w:rPr>
                <w:sz w:val="18"/>
              </w:rPr>
              <w:t>0</w:t>
            </w:r>
            <w:r w:rsidR="00E7001D">
              <w:rPr>
                <w:sz w:val="18"/>
              </w:rPr>
              <w:t>.</w:t>
            </w:r>
            <w:r w:rsidRPr="00243EA2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243EA2" w:rsidRDefault="003079B3" w:rsidP="00243EA2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KT931992</w:t>
            </w:r>
          </w:p>
        </w:tc>
      </w:tr>
      <w:tr w:rsidR="003079B3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AGCCA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TLR4-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312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295</w:t>
            </w:r>
          </w:p>
        </w:tc>
        <w:tc>
          <w:tcPr>
            <w:tcW w:w="1036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KJ414344</w:t>
            </w:r>
          </w:p>
        </w:tc>
      </w:tr>
      <w:tr w:rsidR="003079B3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AGTAA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TLR4-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086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KJ414345</w:t>
            </w:r>
          </w:p>
        </w:tc>
      </w:tr>
      <w:tr w:rsidR="003079B3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TLR4_3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AGTCA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TLR4-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562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319</w:t>
            </w:r>
          </w:p>
        </w:tc>
        <w:tc>
          <w:tcPr>
            <w:tcW w:w="1036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1.000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KJ414346</w:t>
            </w:r>
          </w:p>
        </w:tc>
      </w:tr>
      <w:tr w:rsidR="003079B3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TLR4_4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GGCCA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TLR4-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0.040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205</w:t>
            </w:r>
          </w:p>
        </w:tc>
        <w:tc>
          <w:tcPr>
            <w:tcW w:w="1036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KJ414347</w:t>
            </w:r>
          </w:p>
        </w:tc>
      </w:tr>
      <w:tr w:rsidR="003079B3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TLR4_5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AACCA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TLR4-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181</w:t>
            </w:r>
          </w:p>
        </w:tc>
        <w:tc>
          <w:tcPr>
            <w:tcW w:w="1036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KJ414348</w:t>
            </w:r>
          </w:p>
        </w:tc>
      </w:tr>
      <w:tr w:rsidR="003079B3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TLR4_6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AGCCG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TLR4-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021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KJ414349</w:t>
            </w:r>
          </w:p>
        </w:tc>
      </w:tr>
      <w:tr w:rsidR="003079B3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TLR4_7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AGTTA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TLR4-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019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KJ414350</w:t>
            </w:r>
          </w:p>
        </w:tc>
      </w:tr>
      <w:tr w:rsidR="003079B3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TLR21_1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CCGC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TLR21-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0.503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521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317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735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KJ414351</w:t>
            </w:r>
          </w:p>
        </w:tc>
      </w:tr>
      <w:tr w:rsidR="003079B3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TLR21_2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CCGT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TLR21-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0.479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454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683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265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KJ414352</w:t>
            </w:r>
          </w:p>
        </w:tc>
      </w:tr>
      <w:tr w:rsidR="003079B3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TLR21_3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TCGT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TLR21-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005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KJ414353</w:t>
            </w:r>
          </w:p>
        </w:tc>
      </w:tr>
      <w:tr w:rsidR="003079B3" w:rsidRPr="00782CD4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TLR21_4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CCCC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TLR21-</w:t>
            </w: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015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KJ414354</w:t>
            </w:r>
          </w:p>
        </w:tc>
      </w:tr>
      <w:tr w:rsidR="003079B3" w:rsidRPr="00782CD4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782C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TLR21_5</w:t>
            </w:r>
          </w:p>
        </w:tc>
        <w:tc>
          <w:tcPr>
            <w:tcW w:w="1167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CTGT</w:t>
            </w:r>
          </w:p>
        </w:tc>
        <w:tc>
          <w:tcPr>
            <w:tcW w:w="1001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TLR21-3</w:t>
            </w:r>
          </w:p>
        </w:tc>
        <w:tc>
          <w:tcPr>
            <w:tcW w:w="708" w:type="dxa"/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82CD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9" w:type="dxa"/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036" w:type="dxa"/>
            <w:vAlign w:val="center"/>
          </w:tcPr>
          <w:p w:rsidR="003079B3" w:rsidRPr="001F319E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1F319E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1F319E">
              <w:rPr>
                <w:sz w:val="18"/>
              </w:rPr>
              <w:t>005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000</w:t>
            </w:r>
          </w:p>
        </w:tc>
        <w:tc>
          <w:tcPr>
            <w:tcW w:w="1036" w:type="dxa"/>
            <w:vAlign w:val="center"/>
          </w:tcPr>
          <w:p w:rsidR="003079B3" w:rsidRPr="00411389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411389">
              <w:rPr>
                <w:sz w:val="18"/>
              </w:rPr>
              <w:t>0</w:t>
            </w:r>
            <w:r>
              <w:rPr>
                <w:sz w:val="18"/>
              </w:rPr>
              <w:t>.</w:t>
            </w:r>
            <w:r w:rsidRPr="00411389">
              <w:rPr>
                <w:sz w:val="18"/>
              </w:rPr>
              <w:t>000</w:t>
            </w:r>
          </w:p>
        </w:tc>
        <w:tc>
          <w:tcPr>
            <w:tcW w:w="1280" w:type="dxa"/>
            <w:vAlign w:val="center"/>
          </w:tcPr>
          <w:p w:rsidR="003079B3" w:rsidRPr="00782CD4" w:rsidRDefault="003079B3" w:rsidP="003079B3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KJ414355</w:t>
            </w:r>
          </w:p>
        </w:tc>
      </w:tr>
      <w:tr w:rsidR="003079B3" w:rsidRPr="00782CD4" w:rsidTr="001922B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079B3" w:rsidRPr="00782CD4" w:rsidRDefault="003079B3" w:rsidP="003079B3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Total </w:t>
            </w:r>
          </w:p>
        </w:tc>
        <w:tc>
          <w:tcPr>
            <w:tcW w:w="1167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079B3" w:rsidRPr="00782CD4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:rsidR="003079B3" w:rsidRPr="001F040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  <w:r w:rsidRPr="00D23E9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079B3" w:rsidRPr="001F040E" w:rsidRDefault="003079B3" w:rsidP="003079B3">
            <w:pPr>
              <w:ind w:hanging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9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079B3" w:rsidRPr="001F040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3079B3" w:rsidRPr="001F040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3079B3" w:rsidRPr="001F040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3079B3" w:rsidRPr="001F040E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GB" w:eastAsia="en-GB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3079B3" w:rsidRDefault="003079B3" w:rsidP="003079B3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tbl>
      <w:tblPr>
        <w:tblStyle w:val="MediumList11"/>
        <w:tblW w:w="9738" w:type="dxa"/>
        <w:tblLook w:val="04A0" w:firstRow="1" w:lastRow="0" w:firstColumn="1" w:lastColumn="0" w:noHBand="0" w:noVBand="1"/>
      </w:tblPr>
      <w:tblGrid>
        <w:gridCol w:w="1278"/>
        <w:gridCol w:w="2435"/>
        <w:gridCol w:w="1134"/>
        <w:gridCol w:w="480"/>
        <w:gridCol w:w="1115"/>
        <w:gridCol w:w="1021"/>
        <w:gridCol w:w="1086"/>
        <w:gridCol w:w="1189"/>
      </w:tblGrid>
      <w:tr w:rsidR="00DC7205" w:rsidRPr="00023F4C" w:rsidTr="00DC3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hideMark/>
          </w:tcPr>
          <w:p w:rsidR="003644B5" w:rsidRPr="00023F4C" w:rsidRDefault="003644B5" w:rsidP="00A2599C">
            <w:pPr>
              <w:ind w:left="0" w:firstLine="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bCs w:val="0"/>
                <w:i/>
                <w:color w:val="000000"/>
                <w:sz w:val="18"/>
                <w:szCs w:val="18"/>
                <w:lang w:val="en-GB" w:eastAsia="en-GB"/>
              </w:rPr>
              <w:t>A.</w:t>
            </w:r>
            <w:r w:rsidRPr="00023F4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023F4C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val="en-GB" w:eastAsia="en-GB"/>
              </w:rPr>
              <w:t>campestris</w:t>
            </w:r>
            <w:proofErr w:type="spellEnd"/>
          </w:p>
          <w:p w:rsidR="003644B5" w:rsidRPr="00023F4C" w:rsidRDefault="003644B5" w:rsidP="000574B6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allele</w:t>
            </w:r>
          </w:p>
        </w:tc>
        <w:tc>
          <w:tcPr>
            <w:tcW w:w="2435" w:type="dxa"/>
            <w:noWrap/>
            <w:hideMark/>
          </w:tcPr>
          <w:p w:rsidR="003644B5" w:rsidRPr="00023F4C" w:rsidRDefault="003644B5" w:rsidP="005C7DE2">
            <w:pPr>
              <w:ind w:left="-34" w:hanging="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Sequence</w:t>
            </w:r>
          </w:p>
        </w:tc>
        <w:tc>
          <w:tcPr>
            <w:tcW w:w="1134" w:type="dxa"/>
            <w:noWrap/>
            <w:hideMark/>
          </w:tcPr>
          <w:p w:rsidR="003644B5" w:rsidRDefault="003644B5" w:rsidP="00A2599C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Amino acid</w:t>
            </w:r>
          </w:p>
          <w:p w:rsidR="003644B5" w:rsidRPr="00023F4C" w:rsidRDefault="003644B5" w:rsidP="00A2599C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variant</w:t>
            </w:r>
          </w:p>
        </w:tc>
        <w:tc>
          <w:tcPr>
            <w:tcW w:w="480" w:type="dxa"/>
          </w:tcPr>
          <w:p w:rsidR="003644B5" w:rsidRPr="00023F4C" w:rsidRDefault="003644B5" w:rsidP="00A2599C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1</w:t>
            </w:r>
          </w:p>
        </w:tc>
        <w:tc>
          <w:tcPr>
            <w:tcW w:w="1115" w:type="dxa"/>
          </w:tcPr>
          <w:p w:rsidR="003644B5" w:rsidRPr="002E3D17" w:rsidRDefault="003644B5" w:rsidP="00A2599C">
            <w:pPr>
              <w:ind w:hanging="10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Frequency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vertAlign w:val="superscript"/>
                <w:lang w:val="en-GB" w:eastAsia="en-GB"/>
              </w:rPr>
              <w:t>2</w:t>
            </w:r>
          </w:p>
        </w:tc>
        <w:tc>
          <w:tcPr>
            <w:tcW w:w="1021" w:type="dxa"/>
          </w:tcPr>
          <w:p w:rsidR="003644B5" w:rsidRDefault="003644B5" w:rsidP="00A2599C">
            <w:pPr>
              <w:ind w:hanging="10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Frequency</w:t>
            </w:r>
          </w:p>
          <w:p w:rsidR="003644B5" w:rsidRDefault="003644B5" w:rsidP="00A2599C">
            <w:pPr>
              <w:ind w:hanging="10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in IP</w:t>
            </w:r>
          </w:p>
        </w:tc>
        <w:tc>
          <w:tcPr>
            <w:tcW w:w="1086" w:type="dxa"/>
          </w:tcPr>
          <w:p w:rsidR="003644B5" w:rsidRDefault="003644B5" w:rsidP="00A2599C">
            <w:pPr>
              <w:ind w:left="5" w:hanging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Frequency</w:t>
            </w:r>
          </w:p>
          <w:p w:rsidR="003644B5" w:rsidRDefault="003644B5" w:rsidP="00A2599C">
            <w:pPr>
              <w:ind w:left="2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in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Af</w:t>
            </w:r>
            <w:proofErr w:type="spellEnd"/>
          </w:p>
        </w:tc>
        <w:tc>
          <w:tcPr>
            <w:tcW w:w="1189" w:type="dxa"/>
          </w:tcPr>
          <w:p w:rsidR="003644B5" w:rsidRDefault="003644B5" w:rsidP="0017024F">
            <w:pPr>
              <w:ind w:left="43" w:right="-99" w:hanging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Genebank</w:t>
            </w:r>
            <w:proofErr w:type="spellEnd"/>
          </w:p>
          <w:p w:rsidR="003644B5" w:rsidRDefault="0017024F" w:rsidP="0017024F">
            <w:pPr>
              <w:ind w:left="-22" w:right="-99" w:firstLine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 xml:space="preserve">Accession </w:t>
            </w:r>
            <w:r w:rsidR="003644B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 w:eastAsia="en-GB"/>
              </w:rPr>
              <w:t>#</w:t>
            </w:r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GAAGTAGTCCGCTCCCGACCC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KJ414356</w:t>
            </w:r>
          </w:p>
        </w:tc>
      </w:tr>
      <w:tr w:rsidR="007B06B0" w:rsidRPr="001A3ED3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TLR1LA_3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GAAGTAGTCCGCCCCCGACCC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TLR1LA_2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KJ414357</w:t>
            </w:r>
            <w:bookmarkStart w:id="0" w:name="_GoBack"/>
            <w:bookmarkEnd w:id="0"/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TLR1LA_9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GAAGTAGACCGCCCCCGACCC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TLR1LA_3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KJ414358</w:t>
            </w:r>
          </w:p>
        </w:tc>
      </w:tr>
      <w:tr w:rsidR="007B06B0" w:rsidRPr="001A3ED3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TLR1LA_10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GAAGTAGTCCGCCTCCGACCC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TLR1LA_4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KJ414359</w:t>
            </w:r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GACGTAGTCCGCCCCCGACCC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TLR1LA_5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KJ414360</w:t>
            </w:r>
          </w:p>
        </w:tc>
      </w:tr>
      <w:tr w:rsidR="007B06B0" w:rsidRPr="001A3ED3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TLR1LA_12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GCAGTAGTCCGCCCCCGACCC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TLR1LA_2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KJ414361</w:t>
            </w:r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TLR1LA_13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GAAGTAGTCCGCCCCCGCCCC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TLR1LA_6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KJ414362</w:t>
            </w:r>
          </w:p>
        </w:tc>
      </w:tr>
      <w:tr w:rsidR="007B06B0" w:rsidRPr="001A3ED3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TLR1LA_14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GAAGTAGTCCGTCCCCGACCC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TLR1LA_2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KJ414363</w:t>
            </w:r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TLR1LA_15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GAAGTAGTATGCCCCCTCCTC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TLR1LA_7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KJ414364</w:t>
            </w:r>
          </w:p>
        </w:tc>
      </w:tr>
      <w:tr w:rsidR="007B06B0" w:rsidRPr="001A3ED3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TLR1LA_16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GACGTAGTCCGCCCCCGATCC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TLR1LA_5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KJ414365</w:t>
            </w:r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TLR1LA_17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GCAATAGTCTGCCCCCGCCCC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TLR1LA_6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KJ414366</w:t>
            </w:r>
          </w:p>
        </w:tc>
      </w:tr>
      <w:tr w:rsidR="007B06B0" w:rsidRPr="001A3ED3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TLR1LA_18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GAAGCTGTACATCCCCGCCCC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TLR1LA_8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KJ414367</w:t>
            </w:r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TLR1LA_19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AAAGTAGTCCGCCCCCGACCC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TLR1LA_2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KJ414368</w:t>
            </w:r>
          </w:p>
        </w:tc>
      </w:tr>
      <w:tr w:rsidR="007B06B0" w:rsidRPr="001A3ED3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TLR1LA_20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GCAGTAATCCGCCCCTGCCCC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TLR1LA_6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KJ414369</w:t>
            </w:r>
          </w:p>
        </w:tc>
      </w:tr>
      <w:tr w:rsidR="007B06B0" w:rsidRPr="001A3ED3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TLR1LA_21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1A3ED3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GAAGTAGTATGCCCCCTCCCT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TLR1LA_9</w:t>
            </w:r>
          </w:p>
        </w:tc>
        <w:tc>
          <w:tcPr>
            <w:tcW w:w="480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Pr="001A3ED3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1A3ED3">
              <w:rPr>
                <w:color w:val="000000"/>
                <w:sz w:val="18"/>
                <w:szCs w:val="18"/>
              </w:rPr>
              <w:t>KJ414370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TLR1LB_9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GCGCAAGTGCCCTCGGAC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KJ414371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TLR1LB_10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CTGCAAGTGCCCTTGGAC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TLR1LB_2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KJ414372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GCGTAAGTGCCCTCGGCC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TLR1LB_3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KJ414373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TLR1LB_12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GCGCAAGTACCCTCGGAC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KJ414374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TLR1LB_13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GCGCAAGTGCCCCCGGAC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KJ414375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TLR1LB_14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GCGCGAGTGTCTTCGGCT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TLR1LB_3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KJ414376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TLR1LB_15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GCACAAGTGTCCTCGGAC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TLR1LB_4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KJ414377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TLR1LB_16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GCGCACGTGCCCTCAGCC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TLR1LB_3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KJ414378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TLR1LB_17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GCGCAAGTGTTTTCGGCC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TLR1LB_3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KJ414379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TLR1LB_18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GCGCAAAAGCCCTCGTCC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TLR1LB_5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KJ414380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TLR3_2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AGTTAGCGGCGCGCC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KJ414381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TLR3_7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GGTTATCAGCGCGCC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TLR3_2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KJ414382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TLR3_8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GGTTAGCGGCGCGTC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TLR3_3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KJ414383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TLR3_9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AGTTCGCGGCGCGCC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KJ414384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TLR3_10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AGTTAGCGACGCGCC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TLR3_4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KJ414385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AGCTAGCGGCACACC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KJ414386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TLR3_12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AATTAGCGGCGCGCC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TLR3_6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KJ414387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TLR3_13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AGTTAGCGGCGTGCC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KJ414388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TLR3_14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AGTAAGCGGCGCGCT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KJ414389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TLR3_15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AGTAAGTGGCGCGCT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TLR3_7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KJ414390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TLR3_16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AGTTAGCGGCGCACC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KJ414391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TLR3_17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AGTTAGTGGAGCGCC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TLR3_8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KJ414392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TLR4_8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CGAGGACTCCCCCAGGGGACTC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KJ414393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TLR4_9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TAACGGCCTCCCCAAGGGACTC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KJ414394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TLR4_10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CGAGGACTCCTCCAGGGAACTC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TLR4_3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KJ414395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lastRenderedPageBreak/>
              <w:t>TLR4_11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GGACGACCCCCCCAGGGAGCTC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TLR4_4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KJ414396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TLR4_12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CAACGACTCCCCCAGGGGACTC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KJ414397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TLR4_13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GAACGACCCCCCCAGGGGACTC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KJ414398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TLR4_14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TGACGAGTCCCGCAGGGGACTC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TLR4_6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KJ414399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TLR4_15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CAACGACCCCCCCAGGGGACGC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KJ414400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TLR4_16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CGACGACTCCCCCAGGGAGCTT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TLR4_4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KJ414401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TLR4_17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GGACGACCCCCGCAGGGGACTC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KJ414402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TLR4_18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TGACGACTCCCGCAGGGGAATC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TLR4_4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KJ414403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TLR4_19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CAACGACTCCCGCAGGGGACTC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KJ414404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TLR4_20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CGAGGACCCTCCCAGAGAGCTC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TLR4_7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KJ414405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CGACGACTCCCCCGGGGGACTC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TLR4_8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KJ414406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TLR4_22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TAGCGAGTCCCGCAGGGGACTC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TLR4_9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KJ414407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TLR4_23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CAACAACTCCCCCAGGAGACTC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TLR4_10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KJ414408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TLR4_24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CGACGACTCCCCCAGGGGACTC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KJ414409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TLR4_25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  <w:t>CGAGGACTCCCCGAGGGAACTC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TLR4_11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KJ414410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TLR21_6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CCCCTG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KJ414411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TLR21_7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CCTCCG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KJ414412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TLR21_8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CCCCCG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TLR21_1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KJ414413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TLR21_9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CCCTCG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TLR21_2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KJ414414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TLR21_10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CTCCTG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TLR21_3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KJ414415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TLR21_11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CCCCTA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TLR21_4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KJ414416</w:t>
            </w:r>
          </w:p>
        </w:tc>
      </w:tr>
      <w:tr w:rsidR="007B06B0" w:rsidRPr="00023F4C" w:rsidTr="004113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TLR21_12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GCCC</w:t>
            </w: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CG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23F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TLR21_5</w:t>
            </w:r>
          </w:p>
        </w:tc>
        <w:tc>
          <w:tcPr>
            <w:tcW w:w="480" w:type="dxa"/>
            <w:vAlign w:val="center"/>
          </w:tcPr>
          <w:p w:rsidR="007B06B0" w:rsidRDefault="007B06B0" w:rsidP="007B06B0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A3ED3">
              <w:rPr>
                <w:rFonts w:ascii="Calibri" w:hAnsi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9" w:type="dxa"/>
            <w:vAlign w:val="center"/>
          </w:tcPr>
          <w:p w:rsidR="007B06B0" w:rsidRDefault="007B06B0" w:rsidP="007B06B0">
            <w:pPr>
              <w:ind w:left="-22" w:firstLine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KJ414417</w:t>
            </w:r>
          </w:p>
        </w:tc>
      </w:tr>
      <w:tr w:rsidR="007B06B0" w:rsidRPr="00023F4C" w:rsidTr="00411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2435" w:type="dxa"/>
            <w:noWrap/>
            <w:vAlign w:val="center"/>
            <w:hideMark/>
          </w:tcPr>
          <w:p w:rsidR="007B06B0" w:rsidRPr="00023F4C" w:rsidRDefault="007B06B0" w:rsidP="007B06B0">
            <w:pPr>
              <w:ind w:left="-34" w:hanging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7B06B0" w:rsidRPr="00023F4C" w:rsidRDefault="007B06B0" w:rsidP="007B06B0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480" w:type="dxa"/>
            <w:vAlign w:val="center"/>
          </w:tcPr>
          <w:p w:rsidR="007B06B0" w:rsidRPr="00023F4C" w:rsidRDefault="007B06B0" w:rsidP="007B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5" w:type="dxa"/>
            <w:vAlign w:val="center"/>
          </w:tcPr>
          <w:p w:rsidR="007B06B0" w:rsidRPr="001A3ED3" w:rsidRDefault="007B06B0" w:rsidP="007B06B0">
            <w:pPr>
              <w:ind w:hanging="10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1" w:type="dxa"/>
            <w:vAlign w:val="center"/>
          </w:tcPr>
          <w:p w:rsidR="007B06B0" w:rsidRPr="001A3ED3" w:rsidRDefault="007B06B0" w:rsidP="007B06B0">
            <w:pPr>
              <w:ind w:hanging="10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6" w:type="dxa"/>
            <w:vAlign w:val="center"/>
          </w:tcPr>
          <w:p w:rsidR="007B06B0" w:rsidRPr="001A3ED3" w:rsidRDefault="007B06B0" w:rsidP="007B06B0">
            <w:pPr>
              <w:ind w:left="5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9" w:type="dxa"/>
            <w:vAlign w:val="center"/>
          </w:tcPr>
          <w:p w:rsidR="007B06B0" w:rsidRPr="00023F4C" w:rsidRDefault="007B06B0" w:rsidP="007B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3644B5" w:rsidRPr="00B8619C" w:rsidRDefault="003644B5" w:rsidP="003644B5">
      <w:pPr>
        <w:spacing w:line="480" w:lineRule="auto"/>
        <w:jc w:val="both"/>
      </w:pPr>
      <w:r>
        <w:rPr>
          <w:vertAlign w:val="superscript"/>
        </w:rPr>
        <w:t>1</w:t>
      </w:r>
      <w:r>
        <w:t>Number of individuals with the allele across all populations</w:t>
      </w:r>
    </w:p>
    <w:p w:rsidR="003644B5" w:rsidRDefault="003644B5" w:rsidP="003644B5">
      <w:pPr>
        <w:spacing w:line="480" w:lineRule="auto"/>
        <w:jc w:val="both"/>
      </w:pPr>
      <w:r>
        <w:rPr>
          <w:vertAlign w:val="superscript"/>
        </w:rPr>
        <w:t>2</w:t>
      </w:r>
      <w:r>
        <w:t>Overall frequency in the pooled populations</w:t>
      </w:r>
    </w:p>
    <w:p w:rsidR="003644B5" w:rsidRDefault="003644B5" w:rsidP="003644B5">
      <w:pPr>
        <w:spacing w:line="480" w:lineRule="auto"/>
        <w:jc w:val="both"/>
        <w:sectPr w:rsidR="003644B5" w:rsidSect="000E4B80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3644B5" w:rsidRDefault="009F2048" w:rsidP="003644B5">
      <w:pPr>
        <w:spacing w:line="480" w:lineRule="auto"/>
        <w:jc w:val="both"/>
      </w:pPr>
      <w:r>
        <w:lastRenderedPageBreak/>
        <w:t>Table S4</w:t>
      </w:r>
      <w:r w:rsidR="003644B5">
        <w:t>.</w:t>
      </w:r>
      <w:r w:rsidR="00DB23D4">
        <w:t xml:space="preserve"> </w:t>
      </w:r>
      <w:r w:rsidR="003644B5">
        <w:t>Mean</w:t>
      </w:r>
      <w:r w:rsidR="00727ADE">
        <w:t xml:space="preserve"> ratio of</w:t>
      </w:r>
      <w:r w:rsidR="00D01696">
        <w:t xml:space="preserve"> nonsynonymous to synonymous substitutions</w:t>
      </w:r>
      <w:r w:rsidR="003644B5">
        <w:t xml:space="preserve"> </w:t>
      </w:r>
      <w:r w:rsidR="00D01696">
        <w:t>(</w:t>
      </w:r>
      <w:r w:rsidR="003644B5">
        <w:sym w:font="Symbol" w:char="F077"/>
      </w:r>
      <w:r w:rsidR="00D01696">
        <w:t>,</w:t>
      </w:r>
      <w:r w:rsidR="003644B5">
        <w:t xml:space="preserve"> </w:t>
      </w:r>
      <w:r w:rsidR="003644B5">
        <w:rPr>
          <w:i/>
        </w:rPr>
        <w:t>P</w:t>
      </w:r>
      <w:r w:rsidR="003644B5">
        <w:t xml:space="preserve"> values for hypothesis of purifying selection, </w:t>
      </w:r>
      <w:proofErr w:type="spellStart"/>
      <w:proofErr w:type="gramStart"/>
      <w:r w:rsidR="003644B5">
        <w:t>dN</w:t>
      </w:r>
      <w:proofErr w:type="spellEnd"/>
      <w:proofErr w:type="gramEnd"/>
      <w:r w:rsidR="00A13E60">
        <w:t xml:space="preserve"> </w:t>
      </w:r>
      <w:r w:rsidR="003644B5">
        <w:t>&lt;</w:t>
      </w:r>
      <w:r w:rsidR="00A13E60">
        <w:t xml:space="preserve"> </w:t>
      </w:r>
      <w:proofErr w:type="spellStart"/>
      <w:r w:rsidR="003644B5">
        <w:t>dS</w:t>
      </w:r>
      <w:proofErr w:type="spellEnd"/>
      <w:r w:rsidR="003644B5">
        <w:t>, in brackets) across identified alleles of the five TLR loci in 1) Berthelot’s pipit (Aber)</w:t>
      </w:r>
      <w:r w:rsidR="003644B5">
        <w:rPr>
          <w:i/>
        </w:rPr>
        <w:t xml:space="preserve"> </w:t>
      </w:r>
      <w:r w:rsidR="003644B5">
        <w:t xml:space="preserve">and 2) both </w:t>
      </w:r>
      <w:r w:rsidR="003644B5" w:rsidRPr="008E24BC">
        <w:t>Berthelot’s and tawny pipits</w:t>
      </w:r>
      <w:r w:rsidR="003644B5">
        <w:t xml:space="preserve"> (</w:t>
      </w:r>
      <w:proofErr w:type="spellStart"/>
      <w:r w:rsidR="003644B5">
        <w:t>Aber+Acam</w:t>
      </w:r>
      <w:proofErr w:type="spellEnd"/>
      <w:r w:rsidR="003644B5">
        <w:t>). Significant values are in bold and underlined.</w:t>
      </w:r>
    </w:p>
    <w:tbl>
      <w:tblPr>
        <w:tblStyle w:val="Sombreadoclaro1"/>
        <w:tblW w:w="0" w:type="auto"/>
        <w:tblLook w:val="0420" w:firstRow="1" w:lastRow="0" w:firstColumn="0" w:lastColumn="0" w:noHBand="0" w:noVBand="1"/>
      </w:tblPr>
      <w:tblGrid>
        <w:gridCol w:w="1242"/>
        <w:gridCol w:w="1836"/>
        <w:gridCol w:w="1632"/>
      </w:tblGrid>
      <w:tr w:rsidR="003644B5" w:rsidRPr="005941CE" w:rsidTr="00707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</w:tcPr>
          <w:p w:rsidR="003644B5" w:rsidRDefault="003644B5" w:rsidP="00045329">
            <w:pPr>
              <w:jc w:val="both"/>
            </w:pPr>
            <w:r>
              <w:t>Locus</w:t>
            </w:r>
          </w:p>
        </w:tc>
        <w:tc>
          <w:tcPr>
            <w:tcW w:w="1836" w:type="dxa"/>
          </w:tcPr>
          <w:p w:rsidR="003644B5" w:rsidRDefault="003644B5" w:rsidP="00A6752A">
            <w:pPr>
              <w:ind w:left="108"/>
              <w:rPr>
                <w:b w:val="0"/>
                <w:bCs w:val="0"/>
              </w:rPr>
            </w:pPr>
            <w:r>
              <w:sym w:font="Symbol" w:char="F077"/>
            </w:r>
            <w:r>
              <w:t xml:space="preserve"> (Aber)</w:t>
            </w:r>
          </w:p>
        </w:tc>
        <w:tc>
          <w:tcPr>
            <w:tcW w:w="1632" w:type="dxa"/>
          </w:tcPr>
          <w:p w:rsidR="003644B5" w:rsidRPr="005941CE" w:rsidRDefault="003644B5" w:rsidP="00045329">
            <w:pPr>
              <w:jc w:val="both"/>
            </w:pPr>
            <w:r>
              <w:sym w:font="Symbol" w:char="F077"/>
            </w:r>
            <w:r>
              <w:t xml:space="preserve"> (</w:t>
            </w:r>
            <w:proofErr w:type="spellStart"/>
            <w:r>
              <w:t>Aber+Acam</w:t>
            </w:r>
            <w:proofErr w:type="spellEnd"/>
            <w:r>
              <w:t>)</w:t>
            </w:r>
          </w:p>
        </w:tc>
      </w:tr>
      <w:tr w:rsidR="003644B5" w:rsidRPr="005941CE" w:rsidTr="00707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3644B5" w:rsidRPr="005941CE" w:rsidRDefault="003644B5" w:rsidP="00045329">
            <w:pPr>
              <w:jc w:val="both"/>
            </w:pPr>
            <w:r w:rsidRPr="005941CE">
              <w:t>TLR1LA</w:t>
            </w:r>
          </w:p>
        </w:tc>
        <w:tc>
          <w:tcPr>
            <w:tcW w:w="1836" w:type="dxa"/>
          </w:tcPr>
          <w:p w:rsidR="003644B5" w:rsidRPr="00741D7D" w:rsidRDefault="007F7BA7" w:rsidP="00A6752A">
            <w:pPr>
              <w:ind w:left="108"/>
              <w:rPr>
                <w:rFonts w:ascii="Calibri" w:hAnsi="Calibri"/>
                <w:color w:val="000000"/>
              </w:rPr>
            </w:pPr>
            <w:r w:rsidRPr="00741D7D">
              <w:rPr>
                <w:rFonts w:ascii="Calibri" w:hAnsi="Calibri"/>
                <w:color w:val="000000"/>
              </w:rPr>
              <w:t>0.25 (</w:t>
            </w:r>
            <w:r w:rsidR="00741D7D" w:rsidRPr="00741D7D">
              <w:rPr>
                <w:rFonts w:ascii="Calibri" w:hAnsi="Calibri"/>
                <w:color w:val="000000"/>
              </w:rPr>
              <w:t>0.085</w:t>
            </w:r>
            <w:r w:rsidR="003644B5" w:rsidRPr="00741D7D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32" w:type="dxa"/>
          </w:tcPr>
          <w:p w:rsidR="003644B5" w:rsidRPr="006D6DC1" w:rsidRDefault="003C0B0E" w:rsidP="00045329">
            <w:pPr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0.27</w:t>
            </w:r>
            <w:r w:rsidR="007F7BA7">
              <w:rPr>
                <w:rFonts w:ascii="Calibri" w:hAnsi="Calibri"/>
                <w:b/>
                <w:color w:val="000000"/>
                <w:u w:val="single"/>
              </w:rPr>
              <w:t xml:space="preserve"> (</w:t>
            </w:r>
            <w:r w:rsidR="00741D7D">
              <w:rPr>
                <w:rFonts w:ascii="Calibri" w:hAnsi="Calibri"/>
                <w:b/>
                <w:color w:val="000000"/>
                <w:u w:val="single"/>
              </w:rPr>
              <w:t>0.010</w:t>
            </w:r>
            <w:r w:rsidR="003644B5" w:rsidRPr="006D6DC1">
              <w:rPr>
                <w:rFonts w:ascii="Calibri" w:hAnsi="Calibri"/>
                <w:b/>
                <w:color w:val="000000"/>
                <w:u w:val="single"/>
              </w:rPr>
              <w:t>)</w:t>
            </w:r>
          </w:p>
        </w:tc>
      </w:tr>
      <w:tr w:rsidR="003644B5" w:rsidRPr="005941CE" w:rsidTr="00707939">
        <w:tc>
          <w:tcPr>
            <w:tcW w:w="1242" w:type="dxa"/>
          </w:tcPr>
          <w:p w:rsidR="003644B5" w:rsidRPr="005941CE" w:rsidRDefault="003644B5" w:rsidP="00045329">
            <w:pPr>
              <w:jc w:val="both"/>
            </w:pPr>
            <w:r w:rsidRPr="005941CE">
              <w:t>TLR1LB</w:t>
            </w:r>
          </w:p>
        </w:tc>
        <w:tc>
          <w:tcPr>
            <w:tcW w:w="1836" w:type="dxa"/>
          </w:tcPr>
          <w:p w:rsidR="003644B5" w:rsidRPr="006D6DC1" w:rsidRDefault="007F7BA7" w:rsidP="00A6752A">
            <w:pPr>
              <w:ind w:left="108"/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0.13 (</w:t>
            </w:r>
            <w:r w:rsidR="00741D7D">
              <w:rPr>
                <w:rFonts w:ascii="Calibri" w:hAnsi="Calibri"/>
                <w:b/>
                <w:color w:val="000000"/>
                <w:u w:val="single"/>
              </w:rPr>
              <w:t>0.018</w:t>
            </w:r>
            <w:r w:rsidR="003644B5" w:rsidRPr="006D6DC1">
              <w:rPr>
                <w:rFonts w:ascii="Calibri" w:hAnsi="Calibri"/>
                <w:b/>
                <w:color w:val="000000"/>
                <w:u w:val="single"/>
              </w:rPr>
              <w:t>)</w:t>
            </w:r>
          </w:p>
        </w:tc>
        <w:tc>
          <w:tcPr>
            <w:tcW w:w="1632" w:type="dxa"/>
          </w:tcPr>
          <w:p w:rsidR="003644B5" w:rsidRPr="006D6DC1" w:rsidRDefault="003C0B0E" w:rsidP="00045329">
            <w:pPr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0.18</w:t>
            </w:r>
            <w:r w:rsidR="007F7BA7">
              <w:rPr>
                <w:rFonts w:ascii="Calibri" w:hAnsi="Calibri"/>
                <w:b/>
                <w:color w:val="000000"/>
                <w:u w:val="single"/>
              </w:rPr>
              <w:t xml:space="preserve"> (</w:t>
            </w:r>
            <w:r w:rsidR="00741D7D">
              <w:rPr>
                <w:rFonts w:ascii="Calibri" w:hAnsi="Calibri"/>
                <w:b/>
                <w:color w:val="000000"/>
                <w:u w:val="single"/>
              </w:rPr>
              <w:t>0.002</w:t>
            </w:r>
            <w:r w:rsidR="003644B5" w:rsidRPr="006D6DC1">
              <w:rPr>
                <w:rFonts w:ascii="Calibri" w:hAnsi="Calibri"/>
                <w:b/>
                <w:color w:val="000000"/>
                <w:u w:val="single"/>
              </w:rPr>
              <w:t>)</w:t>
            </w:r>
          </w:p>
        </w:tc>
      </w:tr>
      <w:tr w:rsidR="003644B5" w:rsidRPr="005941CE" w:rsidTr="00707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3644B5" w:rsidRPr="005941CE" w:rsidRDefault="003644B5" w:rsidP="00045329">
            <w:pPr>
              <w:jc w:val="both"/>
            </w:pPr>
            <w:r w:rsidRPr="005941CE">
              <w:t>TLR3</w:t>
            </w:r>
          </w:p>
        </w:tc>
        <w:tc>
          <w:tcPr>
            <w:tcW w:w="1836" w:type="dxa"/>
          </w:tcPr>
          <w:p w:rsidR="003644B5" w:rsidRPr="009B2BAE" w:rsidRDefault="007F7BA7" w:rsidP="007F7BA7">
            <w:pPr>
              <w:ind w:left="108"/>
              <w:rPr>
                <w:rFonts w:ascii="Calibri" w:hAnsi="Calibri"/>
                <w:color w:val="000000"/>
              </w:rPr>
            </w:pPr>
            <w:r w:rsidRPr="009B2BAE">
              <w:rPr>
                <w:rFonts w:ascii="Calibri" w:hAnsi="Calibri"/>
                <w:color w:val="000000"/>
              </w:rPr>
              <w:t>0.50</w:t>
            </w:r>
            <w:r w:rsidR="003644B5" w:rsidRPr="009B2BAE">
              <w:rPr>
                <w:rFonts w:ascii="Calibri" w:hAnsi="Calibri"/>
                <w:color w:val="000000"/>
              </w:rPr>
              <w:t xml:space="preserve"> (</w:t>
            </w:r>
            <w:r w:rsidR="00741D7D" w:rsidRPr="009B2BAE">
              <w:rPr>
                <w:rFonts w:ascii="Calibri" w:hAnsi="Calibri"/>
                <w:color w:val="000000"/>
              </w:rPr>
              <w:t>0.203</w:t>
            </w:r>
            <w:r w:rsidR="003644B5" w:rsidRPr="009B2BAE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632" w:type="dxa"/>
          </w:tcPr>
          <w:p w:rsidR="003644B5" w:rsidRPr="006D6DC1" w:rsidRDefault="003C0B0E" w:rsidP="00045329">
            <w:pPr>
              <w:rPr>
                <w:rFonts w:ascii="Calibri" w:hAnsi="Calibri"/>
                <w:b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0.39</w:t>
            </w:r>
            <w:r w:rsidR="007F7BA7">
              <w:rPr>
                <w:rFonts w:ascii="Calibri" w:hAnsi="Calibri"/>
                <w:b/>
                <w:color w:val="000000"/>
                <w:u w:val="single"/>
              </w:rPr>
              <w:t xml:space="preserve"> (</w:t>
            </w:r>
            <w:r w:rsidR="00741D7D">
              <w:rPr>
                <w:rFonts w:ascii="Calibri" w:hAnsi="Calibri"/>
                <w:b/>
                <w:color w:val="000000"/>
                <w:u w:val="single"/>
              </w:rPr>
              <w:t>0.040</w:t>
            </w:r>
            <w:r w:rsidR="003644B5" w:rsidRPr="006D6DC1">
              <w:rPr>
                <w:rFonts w:ascii="Calibri" w:hAnsi="Calibri"/>
                <w:b/>
                <w:color w:val="000000"/>
                <w:u w:val="single"/>
              </w:rPr>
              <w:t>)</w:t>
            </w:r>
          </w:p>
        </w:tc>
      </w:tr>
      <w:tr w:rsidR="003644B5" w:rsidRPr="005941CE" w:rsidTr="00707939">
        <w:tc>
          <w:tcPr>
            <w:tcW w:w="1242" w:type="dxa"/>
          </w:tcPr>
          <w:p w:rsidR="003644B5" w:rsidRPr="005941CE" w:rsidRDefault="003644B5" w:rsidP="00045329">
            <w:pPr>
              <w:jc w:val="both"/>
            </w:pPr>
            <w:r w:rsidRPr="005941CE">
              <w:t>TLR4</w:t>
            </w:r>
          </w:p>
        </w:tc>
        <w:tc>
          <w:tcPr>
            <w:tcW w:w="1836" w:type="dxa"/>
          </w:tcPr>
          <w:p w:rsidR="003644B5" w:rsidRDefault="003644B5" w:rsidP="00A6752A">
            <w:pPr>
              <w:ind w:left="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 (0.389)</w:t>
            </w:r>
          </w:p>
        </w:tc>
        <w:tc>
          <w:tcPr>
            <w:tcW w:w="1632" w:type="dxa"/>
          </w:tcPr>
          <w:p w:rsidR="003644B5" w:rsidRPr="006D6DC1" w:rsidRDefault="003644B5" w:rsidP="00045329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6D6DC1">
              <w:rPr>
                <w:rFonts w:ascii="Calibri" w:hAnsi="Calibri"/>
                <w:b/>
                <w:color w:val="000000"/>
                <w:u w:val="single"/>
              </w:rPr>
              <w:t>0.24 (0.014)</w:t>
            </w:r>
          </w:p>
        </w:tc>
      </w:tr>
      <w:tr w:rsidR="003644B5" w:rsidRPr="005941CE" w:rsidTr="00707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3644B5" w:rsidRPr="005941CE" w:rsidRDefault="003644B5" w:rsidP="00045329">
            <w:pPr>
              <w:jc w:val="both"/>
            </w:pPr>
            <w:r w:rsidRPr="005941CE">
              <w:t>TLR21</w:t>
            </w:r>
          </w:p>
        </w:tc>
        <w:tc>
          <w:tcPr>
            <w:tcW w:w="1836" w:type="dxa"/>
          </w:tcPr>
          <w:p w:rsidR="003644B5" w:rsidRDefault="003644B5" w:rsidP="00A6752A">
            <w:pPr>
              <w:ind w:left="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 (0.169)</w:t>
            </w:r>
          </w:p>
        </w:tc>
        <w:tc>
          <w:tcPr>
            <w:tcW w:w="1632" w:type="dxa"/>
          </w:tcPr>
          <w:p w:rsidR="003644B5" w:rsidRPr="009B2BAE" w:rsidRDefault="003644B5" w:rsidP="00045329">
            <w:pPr>
              <w:rPr>
                <w:rFonts w:ascii="Calibri" w:hAnsi="Calibri"/>
                <w:color w:val="000000"/>
              </w:rPr>
            </w:pPr>
            <w:r w:rsidRPr="009B2BAE">
              <w:rPr>
                <w:rFonts w:ascii="Calibri" w:hAnsi="Calibri"/>
                <w:color w:val="000000"/>
              </w:rPr>
              <w:t>0.22 (0.056)</w:t>
            </w:r>
          </w:p>
        </w:tc>
      </w:tr>
    </w:tbl>
    <w:p w:rsidR="00A6752A" w:rsidRDefault="00A6752A" w:rsidP="003644B5">
      <w:pPr>
        <w:jc w:val="both"/>
        <w:sectPr w:rsidR="00A6752A" w:rsidSect="000E4B80">
          <w:pgSz w:w="11907" w:h="16839" w:code="9"/>
          <w:pgMar w:top="1135" w:right="1440" w:bottom="0" w:left="1440" w:header="720" w:footer="720" w:gutter="0"/>
          <w:lnNumType w:countBy="1" w:restart="continuous"/>
          <w:cols w:space="720"/>
          <w:docGrid w:linePitch="360"/>
        </w:sectPr>
      </w:pPr>
    </w:p>
    <w:p w:rsidR="00A6752A" w:rsidRDefault="009F2048" w:rsidP="00C12580">
      <w:pPr>
        <w:spacing w:line="480" w:lineRule="auto"/>
        <w:jc w:val="both"/>
      </w:pPr>
      <w:r>
        <w:lastRenderedPageBreak/>
        <w:t>Table S5</w:t>
      </w:r>
      <w:r w:rsidR="00A6752A">
        <w:t xml:space="preserve">. Codons in </w:t>
      </w:r>
      <w:r w:rsidR="00146338">
        <w:t xml:space="preserve">TLR1LA, </w:t>
      </w:r>
      <w:r w:rsidR="00A6752A">
        <w:t xml:space="preserve">TLR3 and TLR4 identified as being under positive selection across Berthelot’s and tawny pipits, using </w:t>
      </w:r>
      <w:r w:rsidR="000B7293">
        <w:t xml:space="preserve">two </w:t>
      </w:r>
      <w:r w:rsidR="00A6752A">
        <w:t>different methods: FUBAR and MEME. Codon numbers correspond to the chicken mRNA</w:t>
      </w:r>
      <w:r>
        <w:t xml:space="preserve"> for the respective TLR locus</w:t>
      </w:r>
      <w:r w:rsidR="00A6752A">
        <w:t xml:space="preserve">. Codons detected by </w:t>
      </w:r>
      <w:r w:rsidR="00DD000D">
        <w:t>both</w:t>
      </w:r>
      <w:r w:rsidR="00A6752A">
        <w:t xml:space="preserve"> methods are shown in bold.</w:t>
      </w:r>
    </w:p>
    <w:tbl>
      <w:tblPr>
        <w:tblStyle w:val="LightShading4"/>
        <w:tblW w:w="0" w:type="auto"/>
        <w:tblLook w:val="04A0" w:firstRow="1" w:lastRow="0" w:firstColumn="1" w:lastColumn="0" w:noHBand="0" w:noVBand="1"/>
      </w:tblPr>
      <w:tblGrid>
        <w:gridCol w:w="880"/>
        <w:gridCol w:w="1530"/>
        <w:gridCol w:w="2205"/>
      </w:tblGrid>
      <w:tr w:rsidR="000B7293" w:rsidTr="009B6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7293" w:rsidRPr="00E34CA5" w:rsidRDefault="000B7293" w:rsidP="00DF40AD">
            <w:pPr>
              <w:ind w:left="0" w:firstLine="0"/>
              <w:jc w:val="both"/>
            </w:pPr>
            <w:r>
              <w:t>Locus</w:t>
            </w:r>
          </w:p>
        </w:tc>
        <w:tc>
          <w:tcPr>
            <w:tcW w:w="1530" w:type="dxa"/>
          </w:tcPr>
          <w:p w:rsidR="000B7293" w:rsidRDefault="000B7293" w:rsidP="00DF40AD">
            <w:pPr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FUBAR</w:t>
            </w:r>
          </w:p>
        </w:tc>
        <w:tc>
          <w:tcPr>
            <w:tcW w:w="2205" w:type="dxa"/>
          </w:tcPr>
          <w:p w:rsidR="000B7293" w:rsidRDefault="000B7293" w:rsidP="00DF40AD">
            <w:pPr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MEME</w:t>
            </w:r>
          </w:p>
        </w:tc>
      </w:tr>
      <w:tr w:rsidR="000B7293" w:rsidTr="009B6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7293" w:rsidRPr="000B7293" w:rsidRDefault="000B7293" w:rsidP="00AF645A">
            <w:pPr>
              <w:ind w:left="0" w:firstLine="0"/>
              <w:jc w:val="both"/>
            </w:pPr>
            <w:r w:rsidRPr="000B7293">
              <w:t>TLR1LA</w:t>
            </w:r>
          </w:p>
        </w:tc>
        <w:tc>
          <w:tcPr>
            <w:tcW w:w="1530" w:type="dxa"/>
          </w:tcPr>
          <w:p w:rsidR="000B7293" w:rsidRPr="000B7293" w:rsidRDefault="000B7293" w:rsidP="00F14A2F">
            <w:p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7293">
              <w:t>392</w:t>
            </w:r>
            <w:r w:rsidRPr="000B7293">
              <w:rPr>
                <w:b/>
              </w:rPr>
              <w:t xml:space="preserve">, 500, </w:t>
            </w:r>
            <w:r w:rsidRPr="000B7293">
              <w:t>502</w:t>
            </w:r>
            <w:r w:rsidRPr="000B7293">
              <w:rPr>
                <w:b/>
              </w:rPr>
              <w:t xml:space="preserve"> </w:t>
            </w:r>
          </w:p>
        </w:tc>
        <w:tc>
          <w:tcPr>
            <w:tcW w:w="2205" w:type="dxa"/>
          </w:tcPr>
          <w:p w:rsidR="000B7293" w:rsidRPr="000B7293" w:rsidRDefault="000B7293" w:rsidP="00AF645A">
            <w:p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B7293">
              <w:rPr>
                <w:b/>
              </w:rPr>
              <w:t>500</w:t>
            </w:r>
          </w:p>
        </w:tc>
      </w:tr>
      <w:tr w:rsidR="000B7293" w:rsidTr="009B6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7293" w:rsidRPr="000B7293" w:rsidRDefault="000B7293" w:rsidP="00DF40AD">
            <w:pPr>
              <w:ind w:left="0" w:firstLine="0"/>
              <w:jc w:val="both"/>
            </w:pPr>
            <w:r w:rsidRPr="000B7293">
              <w:t>TLR3</w:t>
            </w:r>
          </w:p>
        </w:tc>
        <w:tc>
          <w:tcPr>
            <w:tcW w:w="1530" w:type="dxa"/>
          </w:tcPr>
          <w:p w:rsidR="000B7293" w:rsidRPr="000B7293" w:rsidRDefault="000B7293" w:rsidP="009B6969">
            <w:pPr>
              <w:ind w:left="0" w:right="-18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B7293">
              <w:rPr>
                <w:b/>
              </w:rPr>
              <w:t>260, 261</w:t>
            </w:r>
          </w:p>
        </w:tc>
        <w:tc>
          <w:tcPr>
            <w:tcW w:w="2205" w:type="dxa"/>
          </w:tcPr>
          <w:p w:rsidR="000B7293" w:rsidRPr="000B7293" w:rsidRDefault="000B7293" w:rsidP="007C34E9">
            <w:p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293">
              <w:t>196</w:t>
            </w:r>
            <w:r w:rsidRPr="000B7293">
              <w:rPr>
                <w:b/>
              </w:rPr>
              <w:t xml:space="preserve">, </w:t>
            </w:r>
            <w:r w:rsidRPr="000B7293">
              <w:t xml:space="preserve">207, 216, 224, 238, </w:t>
            </w:r>
            <w:r w:rsidRPr="000B7293">
              <w:rPr>
                <w:b/>
              </w:rPr>
              <w:t>260</w:t>
            </w:r>
            <w:r w:rsidRPr="000B7293">
              <w:t xml:space="preserve">, </w:t>
            </w:r>
            <w:r w:rsidRPr="000B7293">
              <w:rPr>
                <w:b/>
              </w:rPr>
              <w:t>261</w:t>
            </w:r>
            <w:r w:rsidRPr="000B7293">
              <w:t>, 305, 350, 380, 466</w:t>
            </w:r>
          </w:p>
        </w:tc>
      </w:tr>
      <w:tr w:rsidR="000B7293" w:rsidTr="009B6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B7293" w:rsidRPr="000B7293" w:rsidRDefault="000B7293" w:rsidP="00DF40AD">
            <w:pPr>
              <w:ind w:left="0" w:firstLine="0"/>
              <w:jc w:val="both"/>
            </w:pPr>
            <w:r w:rsidRPr="000B7293">
              <w:t>TLR4</w:t>
            </w:r>
          </w:p>
        </w:tc>
        <w:tc>
          <w:tcPr>
            <w:tcW w:w="1530" w:type="dxa"/>
          </w:tcPr>
          <w:p w:rsidR="000B7293" w:rsidRPr="000B7293" w:rsidRDefault="000B7293" w:rsidP="00DF40AD">
            <w:p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293">
              <w:rPr>
                <w:b/>
              </w:rPr>
              <w:t>252</w:t>
            </w:r>
            <w:r w:rsidRPr="000B7293">
              <w:t>, 332</w:t>
            </w:r>
          </w:p>
        </w:tc>
        <w:tc>
          <w:tcPr>
            <w:tcW w:w="2205" w:type="dxa"/>
          </w:tcPr>
          <w:p w:rsidR="000B7293" w:rsidRPr="000B7293" w:rsidRDefault="000B7293" w:rsidP="00DF40AD">
            <w:p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293">
              <w:rPr>
                <w:b/>
              </w:rPr>
              <w:t>252</w:t>
            </w:r>
          </w:p>
        </w:tc>
      </w:tr>
    </w:tbl>
    <w:p w:rsidR="00A6752A" w:rsidRDefault="00A6752A" w:rsidP="00A6752A">
      <w:pPr>
        <w:spacing w:line="480" w:lineRule="auto"/>
        <w:jc w:val="both"/>
        <w:sectPr w:rsidR="00A6752A" w:rsidSect="000E4B80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3644B5" w:rsidRPr="00EA65CC" w:rsidRDefault="003644B5" w:rsidP="003644B5">
      <w:pPr>
        <w:spacing w:line="480" w:lineRule="auto"/>
        <w:jc w:val="both"/>
      </w:pPr>
      <w:r>
        <w:lastRenderedPageBreak/>
        <w:t xml:space="preserve">Figures S1 – S5: Maximum likelihood phylogenetic trees of haplotypes at five TLR loci in five bird species: </w:t>
      </w:r>
      <w:r w:rsidRPr="00727ADE">
        <w:rPr>
          <w:i/>
        </w:rPr>
        <w:t>Came</w:t>
      </w:r>
      <w:r>
        <w:t xml:space="preserve"> = house finch, </w:t>
      </w:r>
      <w:proofErr w:type="spellStart"/>
      <w:r>
        <w:rPr>
          <w:i/>
        </w:rPr>
        <w:t>Carpodacus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mexicanus</w:t>
      </w:r>
      <w:proofErr w:type="spellEnd"/>
      <w:r>
        <w:t xml:space="preserve">; </w:t>
      </w:r>
      <w:proofErr w:type="spellStart"/>
      <w:r w:rsidRPr="00727ADE">
        <w:rPr>
          <w:i/>
        </w:rPr>
        <w:t>Peau</w:t>
      </w:r>
      <w:proofErr w:type="spellEnd"/>
      <w:r>
        <w:t xml:space="preserve"> = New Zealand robin, </w:t>
      </w:r>
      <w:proofErr w:type="spellStart"/>
      <w:r>
        <w:rPr>
          <w:i/>
        </w:rPr>
        <w:t>Petroica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australis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rakiura</w:t>
      </w:r>
      <w:proofErr w:type="spellEnd"/>
      <w:r>
        <w:t xml:space="preserve">; </w:t>
      </w:r>
      <w:proofErr w:type="spellStart"/>
      <w:r w:rsidRPr="00727ADE">
        <w:rPr>
          <w:i/>
        </w:rPr>
        <w:t>Fana</w:t>
      </w:r>
      <w:proofErr w:type="spellEnd"/>
      <w:r>
        <w:t xml:space="preserve"> = </w:t>
      </w:r>
      <w:proofErr w:type="gramStart"/>
      <w:r>
        <w:t>Lesser</w:t>
      </w:r>
      <w:proofErr w:type="gramEnd"/>
      <w:r>
        <w:t xml:space="preserve"> kestrel, </w:t>
      </w:r>
      <w:r>
        <w:rPr>
          <w:i/>
        </w:rPr>
        <w:t xml:space="preserve">Falco </w:t>
      </w:r>
      <w:proofErr w:type="spellStart"/>
      <w:r w:rsidRPr="00EA65CC">
        <w:rPr>
          <w:i/>
        </w:rPr>
        <w:t>naumanni</w:t>
      </w:r>
      <w:proofErr w:type="spellEnd"/>
      <w:r>
        <w:t xml:space="preserve">; </w:t>
      </w:r>
      <w:proofErr w:type="spellStart"/>
      <w:r w:rsidRPr="00727ADE">
        <w:rPr>
          <w:i/>
        </w:rPr>
        <w:t>Anbe</w:t>
      </w:r>
      <w:proofErr w:type="spellEnd"/>
      <w:r>
        <w:t xml:space="preserve"> = Berthelot’s pipit, </w:t>
      </w:r>
      <w:proofErr w:type="spellStart"/>
      <w:r>
        <w:rPr>
          <w:i/>
        </w:rPr>
        <w:t>Anthus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berthelotii</w:t>
      </w:r>
      <w:proofErr w:type="spellEnd"/>
      <w:r>
        <w:rPr>
          <w:i/>
        </w:rPr>
        <w:t>,</w:t>
      </w:r>
      <w:r>
        <w:t xml:space="preserve"> and</w:t>
      </w:r>
      <w:r w:rsidRPr="00727ADE">
        <w:rPr>
          <w:i/>
        </w:rPr>
        <w:t xml:space="preserve"> </w:t>
      </w:r>
      <w:proofErr w:type="spellStart"/>
      <w:r w:rsidRPr="00727ADE">
        <w:rPr>
          <w:i/>
        </w:rPr>
        <w:t>Anca</w:t>
      </w:r>
      <w:proofErr w:type="spellEnd"/>
      <w:r>
        <w:t xml:space="preserve"> = tawny pipit, </w:t>
      </w:r>
      <w:proofErr w:type="spellStart"/>
      <w:r>
        <w:rPr>
          <w:i/>
        </w:rPr>
        <w:t>Anthus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campestris</w:t>
      </w:r>
      <w:proofErr w:type="spellEnd"/>
      <w:r>
        <w:rPr>
          <w:i/>
        </w:rPr>
        <w:t xml:space="preserve">. </w:t>
      </w:r>
      <w:r w:rsidR="00045329">
        <w:t xml:space="preserve">Figure S1 = TLR1LA, S2 = TLR1LB, S3 = TLR3, S4 = TLR4, S5 = TLR21. </w:t>
      </w:r>
      <w:r>
        <w:t xml:space="preserve">Node values represent bootstrap support. </w:t>
      </w:r>
      <w:proofErr w:type="spellStart"/>
      <w:r>
        <w:t>Subtrees</w:t>
      </w:r>
      <w:proofErr w:type="spellEnd"/>
      <w:r>
        <w:t xml:space="preserve"> for </w:t>
      </w:r>
      <w:proofErr w:type="spellStart"/>
      <w:r w:rsidR="00F86613" w:rsidRPr="00727ADE">
        <w:rPr>
          <w:i/>
        </w:rPr>
        <w:t>Peau</w:t>
      </w:r>
      <w:proofErr w:type="spellEnd"/>
      <w:r w:rsidR="00F86613" w:rsidRPr="00727ADE">
        <w:rPr>
          <w:i/>
        </w:rPr>
        <w:t xml:space="preserve">, </w:t>
      </w:r>
      <w:proofErr w:type="spellStart"/>
      <w:r w:rsidR="00F86613" w:rsidRPr="00727ADE">
        <w:rPr>
          <w:i/>
        </w:rPr>
        <w:t>Anca</w:t>
      </w:r>
      <w:proofErr w:type="spellEnd"/>
      <w:r w:rsidR="00F86613">
        <w:t xml:space="preserve"> and </w:t>
      </w:r>
      <w:proofErr w:type="spellStart"/>
      <w:r w:rsidR="00F86613" w:rsidRPr="00727ADE">
        <w:rPr>
          <w:i/>
        </w:rPr>
        <w:t>Fana</w:t>
      </w:r>
      <w:proofErr w:type="spellEnd"/>
      <w:r w:rsidR="00F86613" w:rsidRPr="00727ADE">
        <w:rPr>
          <w:i/>
        </w:rPr>
        <w:t xml:space="preserve"> </w:t>
      </w:r>
      <w:r w:rsidR="00F86613">
        <w:t>were collapsed</w:t>
      </w:r>
      <w:r>
        <w:t>. Height of the collapsed subtree is proportional to the number of haplotypes in the subtree.</w:t>
      </w:r>
    </w:p>
    <w:p w:rsidR="003644B5" w:rsidRPr="00916CF7" w:rsidRDefault="003644B5" w:rsidP="003644B5">
      <w:pPr>
        <w:spacing w:line="480" w:lineRule="auto"/>
        <w:jc w:val="both"/>
      </w:pPr>
      <w:r>
        <w:t xml:space="preserve">Figures S6 – S10: </w:t>
      </w:r>
      <w:r w:rsidRPr="00916CF7">
        <w:t>Network</w:t>
      </w:r>
      <w:r w:rsidR="00320F46">
        <w:t>s</w:t>
      </w:r>
      <w:r w:rsidRPr="00916CF7">
        <w:t xml:space="preserve"> of TLR haplotypes found in populations of Berthelot’s pipits (Yellow: </w:t>
      </w:r>
      <w:r w:rsidR="00DD000D" w:rsidRPr="00916CF7">
        <w:t>Canary Islands</w:t>
      </w:r>
      <w:r w:rsidRPr="00916CF7">
        <w:t>, Blue:</w:t>
      </w:r>
      <w:r w:rsidR="00DD000D" w:rsidRPr="00916CF7">
        <w:t xml:space="preserve"> </w:t>
      </w:r>
      <w:proofErr w:type="spellStart"/>
      <w:r w:rsidR="00F86613">
        <w:t>Selvagens</w:t>
      </w:r>
      <w:proofErr w:type="spellEnd"/>
      <w:r w:rsidR="00F86613">
        <w:t xml:space="preserve">, Green: Madeira) </w:t>
      </w:r>
      <w:r w:rsidRPr="00916CF7">
        <w:t>and in tawny pipits (white circles). Each circle represents one haplotype. Connections between circles denote the number of nucleotide substitutions needed to change from one haplotype to another</w:t>
      </w:r>
      <w:r w:rsidR="00045329">
        <w:t>.</w:t>
      </w:r>
      <w:r w:rsidRPr="00916CF7">
        <w:t xml:space="preserve"> </w:t>
      </w:r>
      <w:r w:rsidR="00045329">
        <w:t>N</w:t>
      </w:r>
      <w:r w:rsidRPr="00916CF7">
        <w:t xml:space="preserve">onsynonymous substitutions are marked in red. Haplotype number is denoted beside each circle and size of the circle is proportional to the abundance of the haplotype in Berthelot’s pipits. </w:t>
      </w:r>
      <w:r w:rsidR="000A5D9D">
        <w:t>Circles representing tawny pipit haplotypes are drawn at a standard size, and are for comparison of relationships with Berthelot’s pipit haplotypes only.</w:t>
      </w:r>
    </w:p>
    <w:p w:rsidR="003644B5" w:rsidRDefault="003644B5"/>
    <w:sectPr w:rsidR="003644B5" w:rsidSect="000E4B8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402"/>
    <w:multiLevelType w:val="hybridMultilevel"/>
    <w:tmpl w:val="51D24A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C7C"/>
    <w:multiLevelType w:val="hybridMultilevel"/>
    <w:tmpl w:val="53B0EE78"/>
    <w:lvl w:ilvl="0" w:tplc="7EF27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2286"/>
    <w:multiLevelType w:val="hybridMultilevel"/>
    <w:tmpl w:val="0BC62C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F7C"/>
    <w:multiLevelType w:val="hybridMultilevel"/>
    <w:tmpl w:val="E584B0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68DD"/>
    <w:multiLevelType w:val="hybridMultilevel"/>
    <w:tmpl w:val="68921686"/>
    <w:lvl w:ilvl="0" w:tplc="6C127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0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A2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8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A6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60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E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0D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D42094"/>
    <w:multiLevelType w:val="hybridMultilevel"/>
    <w:tmpl w:val="DE8058A8"/>
    <w:lvl w:ilvl="0" w:tplc="F9DC38D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421A"/>
    <w:multiLevelType w:val="hybridMultilevel"/>
    <w:tmpl w:val="FDC4DD7C"/>
    <w:lvl w:ilvl="0" w:tplc="AAC862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97922"/>
    <w:multiLevelType w:val="hybridMultilevel"/>
    <w:tmpl w:val="0CD80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F1746"/>
    <w:multiLevelType w:val="hybridMultilevel"/>
    <w:tmpl w:val="110EBFD6"/>
    <w:lvl w:ilvl="0" w:tplc="459CE80E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9">
    <w:nsid w:val="7E113892"/>
    <w:multiLevelType w:val="hybridMultilevel"/>
    <w:tmpl w:val="49F6BE3C"/>
    <w:lvl w:ilvl="0" w:tplc="117075CA">
      <w:start w:val="1"/>
      <w:numFmt w:val="upperLetter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4B5"/>
    <w:rsid w:val="000005E1"/>
    <w:rsid w:val="000123E6"/>
    <w:rsid w:val="00031E2D"/>
    <w:rsid w:val="00041AF4"/>
    <w:rsid w:val="00042BCE"/>
    <w:rsid w:val="00045329"/>
    <w:rsid w:val="00053C24"/>
    <w:rsid w:val="00055A8A"/>
    <w:rsid w:val="000574B6"/>
    <w:rsid w:val="00086433"/>
    <w:rsid w:val="000A5D9D"/>
    <w:rsid w:val="000B0026"/>
    <w:rsid w:val="000B7293"/>
    <w:rsid w:val="000D2378"/>
    <w:rsid w:val="000D4451"/>
    <w:rsid w:val="000E4B80"/>
    <w:rsid w:val="00113A2E"/>
    <w:rsid w:val="00146338"/>
    <w:rsid w:val="00147140"/>
    <w:rsid w:val="001503E9"/>
    <w:rsid w:val="0017024F"/>
    <w:rsid w:val="001922B9"/>
    <w:rsid w:val="001C195B"/>
    <w:rsid w:val="001C1C6E"/>
    <w:rsid w:val="001F040E"/>
    <w:rsid w:val="001F319E"/>
    <w:rsid w:val="00203ABD"/>
    <w:rsid w:val="00221364"/>
    <w:rsid w:val="002229C8"/>
    <w:rsid w:val="002327DC"/>
    <w:rsid w:val="00243EA2"/>
    <w:rsid w:val="0025053B"/>
    <w:rsid w:val="0028774B"/>
    <w:rsid w:val="003079B3"/>
    <w:rsid w:val="00315FC9"/>
    <w:rsid w:val="00320F46"/>
    <w:rsid w:val="00323EBD"/>
    <w:rsid w:val="00354DA4"/>
    <w:rsid w:val="003644B5"/>
    <w:rsid w:val="00396A53"/>
    <w:rsid w:val="003C0B0E"/>
    <w:rsid w:val="003D49B3"/>
    <w:rsid w:val="003E1AEA"/>
    <w:rsid w:val="003E3DE2"/>
    <w:rsid w:val="003F28F6"/>
    <w:rsid w:val="00407101"/>
    <w:rsid w:val="00411389"/>
    <w:rsid w:val="004848F8"/>
    <w:rsid w:val="004A3358"/>
    <w:rsid w:val="005166DE"/>
    <w:rsid w:val="00520A8D"/>
    <w:rsid w:val="0052165A"/>
    <w:rsid w:val="00532A1F"/>
    <w:rsid w:val="00593E8B"/>
    <w:rsid w:val="005C7DE2"/>
    <w:rsid w:val="005F2A04"/>
    <w:rsid w:val="00631FF5"/>
    <w:rsid w:val="00633A1D"/>
    <w:rsid w:val="00634139"/>
    <w:rsid w:val="00652586"/>
    <w:rsid w:val="006F2CF1"/>
    <w:rsid w:val="00707939"/>
    <w:rsid w:val="007208F3"/>
    <w:rsid w:val="0072137F"/>
    <w:rsid w:val="00727ADE"/>
    <w:rsid w:val="007341E7"/>
    <w:rsid w:val="0074168A"/>
    <w:rsid w:val="00741D7D"/>
    <w:rsid w:val="007A2EA9"/>
    <w:rsid w:val="007B06B0"/>
    <w:rsid w:val="007C34E9"/>
    <w:rsid w:val="007F7BA7"/>
    <w:rsid w:val="00806832"/>
    <w:rsid w:val="0081204C"/>
    <w:rsid w:val="0084767E"/>
    <w:rsid w:val="00861AB7"/>
    <w:rsid w:val="00874809"/>
    <w:rsid w:val="00884CAD"/>
    <w:rsid w:val="008A08B7"/>
    <w:rsid w:val="008A4415"/>
    <w:rsid w:val="008C1E1F"/>
    <w:rsid w:val="008C3D22"/>
    <w:rsid w:val="008E575D"/>
    <w:rsid w:val="008E5FE1"/>
    <w:rsid w:val="00922656"/>
    <w:rsid w:val="009406DE"/>
    <w:rsid w:val="009504C5"/>
    <w:rsid w:val="00965187"/>
    <w:rsid w:val="009B130C"/>
    <w:rsid w:val="009B2BAE"/>
    <w:rsid w:val="009B6969"/>
    <w:rsid w:val="009F2048"/>
    <w:rsid w:val="00A13E60"/>
    <w:rsid w:val="00A2599C"/>
    <w:rsid w:val="00A43121"/>
    <w:rsid w:val="00A44680"/>
    <w:rsid w:val="00A46497"/>
    <w:rsid w:val="00A6752A"/>
    <w:rsid w:val="00AF645A"/>
    <w:rsid w:val="00B84676"/>
    <w:rsid w:val="00B94C69"/>
    <w:rsid w:val="00BA3531"/>
    <w:rsid w:val="00C008CB"/>
    <w:rsid w:val="00C12580"/>
    <w:rsid w:val="00C247CD"/>
    <w:rsid w:val="00C27ACC"/>
    <w:rsid w:val="00CE47E7"/>
    <w:rsid w:val="00CE6B7A"/>
    <w:rsid w:val="00D01696"/>
    <w:rsid w:val="00D03466"/>
    <w:rsid w:val="00D23E93"/>
    <w:rsid w:val="00D24398"/>
    <w:rsid w:val="00D25BD3"/>
    <w:rsid w:val="00D465E6"/>
    <w:rsid w:val="00D66FE9"/>
    <w:rsid w:val="00D70792"/>
    <w:rsid w:val="00DA7F41"/>
    <w:rsid w:val="00DB23D4"/>
    <w:rsid w:val="00DC3BF2"/>
    <w:rsid w:val="00DC7205"/>
    <w:rsid w:val="00DD000D"/>
    <w:rsid w:val="00DF40AD"/>
    <w:rsid w:val="00E01543"/>
    <w:rsid w:val="00E102F2"/>
    <w:rsid w:val="00E16AE0"/>
    <w:rsid w:val="00E56835"/>
    <w:rsid w:val="00E7001D"/>
    <w:rsid w:val="00E764B7"/>
    <w:rsid w:val="00E92BBF"/>
    <w:rsid w:val="00EC47A1"/>
    <w:rsid w:val="00F14A2F"/>
    <w:rsid w:val="00F84340"/>
    <w:rsid w:val="00F86613"/>
    <w:rsid w:val="00FA1FD1"/>
    <w:rsid w:val="00FA24F6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719D52-F6F0-43C9-B39D-1E33859A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44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644B5"/>
    <w:pPr>
      <w:spacing w:after="0" w:line="240" w:lineRule="auto"/>
      <w:ind w:left="1080" w:hanging="72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anormal"/>
    <w:uiPriority w:val="60"/>
    <w:rsid w:val="003644B5"/>
    <w:pPr>
      <w:spacing w:after="0" w:line="240" w:lineRule="auto"/>
      <w:ind w:left="1080" w:hanging="720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anormal"/>
    <w:uiPriority w:val="60"/>
    <w:rsid w:val="003644B5"/>
    <w:pPr>
      <w:spacing w:after="0" w:line="240" w:lineRule="auto"/>
      <w:ind w:left="1080" w:hanging="720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644B5"/>
    <w:pPr>
      <w:spacing w:after="0" w:line="240" w:lineRule="auto"/>
      <w:ind w:left="1080" w:hanging="720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4B5"/>
    <w:rPr>
      <w:rFonts w:ascii="Tahoma" w:hAnsi="Tahoma" w:cs="Tahoma"/>
      <w:sz w:val="16"/>
      <w:szCs w:val="16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4B5"/>
    <w:pPr>
      <w:spacing w:after="0" w:line="240" w:lineRule="auto"/>
      <w:ind w:left="1080" w:hanging="720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4B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4B5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6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3644B5"/>
    <w:pPr>
      <w:spacing w:after="0" w:line="240" w:lineRule="auto"/>
      <w:ind w:left="720" w:hanging="720"/>
      <w:contextualSpacing/>
    </w:pPr>
    <w:rPr>
      <w:lang w:val="en-US"/>
    </w:rPr>
  </w:style>
  <w:style w:type="table" w:customStyle="1" w:styleId="LightShading3">
    <w:name w:val="Light Shading3"/>
    <w:basedOn w:val="Tablanormal"/>
    <w:uiPriority w:val="60"/>
    <w:rsid w:val="003644B5"/>
    <w:pPr>
      <w:spacing w:after="0" w:line="240" w:lineRule="auto"/>
      <w:ind w:left="1080" w:hanging="720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11">
    <w:name w:val="Medium List 11"/>
    <w:basedOn w:val="Tablanormal"/>
    <w:uiPriority w:val="65"/>
    <w:rsid w:val="003644B5"/>
    <w:pPr>
      <w:spacing w:after="0" w:line="240" w:lineRule="auto"/>
      <w:ind w:left="1080" w:hanging="720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644B5"/>
    <w:pPr>
      <w:tabs>
        <w:tab w:val="center" w:pos="4513"/>
        <w:tab w:val="right" w:pos="9026"/>
      </w:tabs>
      <w:spacing w:after="0" w:line="240" w:lineRule="auto"/>
      <w:ind w:left="1080" w:hanging="720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44B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44B5"/>
    <w:pPr>
      <w:tabs>
        <w:tab w:val="center" w:pos="4513"/>
        <w:tab w:val="right" w:pos="9026"/>
      </w:tabs>
      <w:spacing w:after="0" w:line="240" w:lineRule="auto"/>
      <w:ind w:left="1080" w:hanging="720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44B5"/>
    <w:rPr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3644B5"/>
  </w:style>
  <w:style w:type="paragraph" w:styleId="Revisin">
    <w:name w:val="Revision"/>
    <w:hidden/>
    <w:uiPriority w:val="99"/>
    <w:semiHidden/>
    <w:rsid w:val="003644B5"/>
    <w:pPr>
      <w:spacing w:after="0" w:line="240" w:lineRule="auto"/>
    </w:pPr>
    <w:rPr>
      <w:lang w:val="en-US"/>
    </w:rPr>
  </w:style>
  <w:style w:type="table" w:customStyle="1" w:styleId="LightShading4">
    <w:name w:val="Light Shading4"/>
    <w:basedOn w:val="Tablanormal"/>
    <w:uiPriority w:val="60"/>
    <w:rsid w:val="003644B5"/>
    <w:pPr>
      <w:spacing w:after="0" w:line="240" w:lineRule="auto"/>
      <w:ind w:left="1080" w:hanging="720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6752A"/>
    <w:rPr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8A08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2840</Words>
  <Characters>15622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Catalina Gonzalez</cp:lastModifiedBy>
  <cp:revision>4</cp:revision>
  <dcterms:created xsi:type="dcterms:W3CDTF">2015-08-19T02:44:00Z</dcterms:created>
  <dcterms:modified xsi:type="dcterms:W3CDTF">2015-10-20T17:45:00Z</dcterms:modified>
</cp:coreProperties>
</file>